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8D" w:rsidRDefault="005D6F8D" w:rsidP="00AF199F"/>
    <w:p w:rsidR="005D6F8D" w:rsidRDefault="005D6F8D" w:rsidP="00AF199F"/>
    <w:p w:rsidR="00731129" w:rsidRDefault="00B63A23" w:rsidP="00AF199F">
      <w:r w:rsidRPr="00AF199F"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-875030</wp:posOffset>
            </wp:positionV>
            <wp:extent cx="2266950" cy="823595"/>
            <wp:effectExtent l="0" t="0" r="0" b="0"/>
            <wp:wrapNone/>
            <wp:docPr id="2" name="Picture 2" descr="National-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-Gr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391" w:rsidRPr="00AF199F" w:rsidRDefault="005D6F8D" w:rsidP="00AF199F">
      <w:pPr>
        <w:pBdr>
          <w:top w:val="single" w:sz="4" w:space="5" w:color="1F497D"/>
          <w:bottom w:val="single" w:sz="4" w:space="15" w:color="1F497D"/>
        </w:pBdr>
        <w:tabs>
          <w:tab w:val="left" w:pos="142"/>
        </w:tabs>
        <w:ind w:left="-567" w:right="-312"/>
        <w:jc w:val="left"/>
        <w:rPr>
          <w:b/>
          <w:color w:val="4F81BD"/>
          <w:sz w:val="28"/>
          <w:szCs w:val="28"/>
        </w:rPr>
      </w:pPr>
      <w:r w:rsidRPr="00AF199F">
        <w:rPr>
          <w:b/>
          <w:color w:val="4F81BD"/>
          <w:sz w:val="28"/>
          <w:szCs w:val="28"/>
        </w:rPr>
        <w:t xml:space="preserve">Explanation of the NTS SO and TO Commodity </w:t>
      </w:r>
      <w:r w:rsidR="000214BE" w:rsidRPr="00D33BBE">
        <w:rPr>
          <w:b/>
          <w:color w:val="4F81BD"/>
          <w:sz w:val="28"/>
          <w:szCs w:val="28"/>
        </w:rPr>
        <w:t>charge</w:t>
      </w:r>
      <w:r w:rsidRPr="00AF199F">
        <w:rPr>
          <w:b/>
          <w:color w:val="4F81BD"/>
          <w:sz w:val="28"/>
          <w:szCs w:val="28"/>
        </w:rPr>
        <w:t xml:space="preserve">s for the formula year </w:t>
      </w:r>
      <w:r w:rsidR="004B4B03" w:rsidRPr="00D33BBE">
        <w:rPr>
          <w:b/>
          <w:color w:val="4F81BD"/>
          <w:sz w:val="28"/>
          <w:szCs w:val="28"/>
        </w:rPr>
        <w:t>201</w:t>
      </w:r>
      <w:r w:rsidR="00143B03">
        <w:rPr>
          <w:b/>
          <w:color w:val="4F81BD"/>
          <w:sz w:val="28"/>
          <w:szCs w:val="28"/>
        </w:rPr>
        <w:t>9</w:t>
      </w:r>
      <w:r w:rsidR="004B4B03" w:rsidRPr="00D33BBE">
        <w:rPr>
          <w:b/>
          <w:color w:val="4F81BD"/>
          <w:sz w:val="28"/>
          <w:szCs w:val="28"/>
        </w:rPr>
        <w:t>/</w:t>
      </w:r>
      <w:r w:rsidR="00143B03">
        <w:rPr>
          <w:b/>
          <w:color w:val="4F81BD"/>
          <w:sz w:val="28"/>
          <w:szCs w:val="28"/>
        </w:rPr>
        <w:t>20</w:t>
      </w:r>
    </w:p>
    <w:p w:rsidR="005D6F8D" w:rsidRDefault="005D6F8D" w:rsidP="00E84004">
      <w:pPr>
        <w:tabs>
          <w:tab w:val="left" w:pos="142"/>
        </w:tabs>
        <w:ind w:left="-567" w:right="-312"/>
        <w:jc w:val="left"/>
        <w:rPr>
          <w:b/>
          <w:sz w:val="28"/>
          <w:szCs w:val="28"/>
        </w:rPr>
      </w:pPr>
    </w:p>
    <w:p w:rsidR="003D6582" w:rsidRPr="00AF199F" w:rsidRDefault="003D6582" w:rsidP="00E84004">
      <w:pPr>
        <w:tabs>
          <w:tab w:val="left" w:pos="142"/>
        </w:tabs>
        <w:ind w:left="-567" w:right="-312"/>
        <w:jc w:val="left"/>
        <w:rPr>
          <w:color w:val="0070C0"/>
          <w:sz w:val="24"/>
          <w:szCs w:val="24"/>
        </w:rPr>
      </w:pPr>
      <w:r w:rsidRPr="00AF199F">
        <w:rPr>
          <w:color w:val="0070C0"/>
          <w:sz w:val="24"/>
          <w:szCs w:val="24"/>
        </w:rPr>
        <w:t>This document should be used in conjunction with the embedded Excel spreadsheet as the Tables that are referred to</w:t>
      </w:r>
      <w:r w:rsidR="00AE38C0" w:rsidRPr="00AF199F">
        <w:rPr>
          <w:color w:val="0070C0"/>
          <w:sz w:val="24"/>
          <w:szCs w:val="24"/>
        </w:rPr>
        <w:t xml:space="preserve"> within this document</w:t>
      </w:r>
      <w:r w:rsidR="003A7755" w:rsidRPr="00AF199F">
        <w:rPr>
          <w:color w:val="0070C0"/>
          <w:sz w:val="24"/>
          <w:szCs w:val="24"/>
        </w:rPr>
        <w:t>,</w:t>
      </w:r>
      <w:r w:rsidRPr="00AF199F">
        <w:rPr>
          <w:color w:val="0070C0"/>
          <w:sz w:val="24"/>
          <w:szCs w:val="24"/>
        </w:rPr>
        <w:t xml:space="preserve"> are contained in th</w:t>
      </w:r>
      <w:r w:rsidR="00AE38C0" w:rsidRPr="00AF199F">
        <w:rPr>
          <w:color w:val="0070C0"/>
          <w:sz w:val="24"/>
          <w:szCs w:val="24"/>
        </w:rPr>
        <w:t>e</w:t>
      </w:r>
      <w:r w:rsidRPr="00AF199F">
        <w:rPr>
          <w:color w:val="0070C0"/>
          <w:sz w:val="24"/>
          <w:szCs w:val="24"/>
        </w:rPr>
        <w:t xml:space="preserve"> spreadsheet.</w:t>
      </w:r>
    </w:p>
    <w:p w:rsidR="003D6582" w:rsidRPr="00AF199F" w:rsidRDefault="003D6582" w:rsidP="00E84004">
      <w:pPr>
        <w:tabs>
          <w:tab w:val="left" w:pos="142"/>
        </w:tabs>
        <w:ind w:left="-567" w:right="-312"/>
        <w:jc w:val="left"/>
        <w:rPr>
          <w:sz w:val="28"/>
          <w:szCs w:val="28"/>
        </w:rPr>
      </w:pPr>
    </w:p>
    <w:bookmarkStart w:id="0" w:name="_GoBack"/>
    <w:bookmarkStart w:id="1" w:name="_MON_1626164298"/>
    <w:bookmarkEnd w:id="1"/>
    <w:p w:rsidR="00B06A20" w:rsidRDefault="008060D2" w:rsidP="00E84004">
      <w:pPr>
        <w:tabs>
          <w:tab w:val="left" w:pos="142"/>
        </w:tabs>
        <w:ind w:left="-567" w:right="-31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7.25pt;height:50.25pt" o:ole="">
            <v:imagedata r:id="rId9" o:title=""/>
          </v:shape>
          <o:OLEObject Type="Embed" ProgID="Excel.Sheet.12" ShapeID="_x0000_i1040" DrawAspect="Icon" ObjectID="_1626170526" r:id="rId10"/>
        </w:object>
      </w:r>
      <w:bookmarkEnd w:id="0"/>
    </w:p>
    <w:p w:rsidR="00333BD1" w:rsidRPr="00AF199F" w:rsidRDefault="00333BD1" w:rsidP="00AF199F">
      <w:pPr>
        <w:pStyle w:val="Heading3"/>
        <w:pBdr>
          <w:top w:val="single" w:sz="4" w:space="3" w:color="4F81BD"/>
          <w:bottom w:val="single" w:sz="4" w:space="10" w:color="4F81BD"/>
        </w:pBdr>
        <w:tabs>
          <w:tab w:val="left" w:pos="142"/>
        </w:tabs>
        <w:ind w:left="-567" w:right="-312"/>
        <w:rPr>
          <w:color w:val="4F81BD"/>
        </w:rPr>
      </w:pPr>
      <w:r w:rsidRPr="00AF199F">
        <w:rPr>
          <w:color w:val="4F81BD"/>
        </w:rPr>
        <w:t>Introduction</w:t>
      </w:r>
    </w:p>
    <w:p w:rsidR="00333BD1" w:rsidRDefault="00333BD1" w:rsidP="00E84004">
      <w:pPr>
        <w:tabs>
          <w:tab w:val="left" w:pos="142"/>
        </w:tabs>
        <w:ind w:left="-567" w:right="-312"/>
      </w:pPr>
    </w:p>
    <w:p w:rsidR="00333BD1" w:rsidRDefault="00333BD1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8574BC">
        <w:rPr>
          <w:sz w:val="22"/>
          <w:szCs w:val="22"/>
        </w:rPr>
        <w:t xml:space="preserve">This document seeks to provide greater transparency </w:t>
      </w:r>
      <w:r>
        <w:rPr>
          <w:sz w:val="22"/>
          <w:szCs w:val="22"/>
        </w:rPr>
        <w:t xml:space="preserve">to the processes and data used by National Grid Gas NTS (“National Grid”) to set the </w:t>
      </w:r>
      <w:r w:rsidRPr="008574BC">
        <w:rPr>
          <w:sz w:val="22"/>
          <w:szCs w:val="22"/>
        </w:rPr>
        <w:t>NTS S</w:t>
      </w:r>
      <w:r>
        <w:rPr>
          <w:sz w:val="22"/>
          <w:szCs w:val="22"/>
        </w:rPr>
        <w:t xml:space="preserve">ystem </w:t>
      </w:r>
      <w:r w:rsidRPr="008574BC">
        <w:rPr>
          <w:sz w:val="22"/>
          <w:szCs w:val="22"/>
        </w:rPr>
        <w:t>O</w:t>
      </w:r>
      <w:r>
        <w:rPr>
          <w:sz w:val="22"/>
          <w:szCs w:val="22"/>
        </w:rPr>
        <w:t>peration (SO)</w:t>
      </w:r>
      <w:r w:rsidRPr="008574BC">
        <w:rPr>
          <w:sz w:val="22"/>
          <w:szCs w:val="22"/>
        </w:rPr>
        <w:t xml:space="preserve"> and T</w:t>
      </w:r>
      <w:r>
        <w:rPr>
          <w:sz w:val="22"/>
          <w:szCs w:val="22"/>
        </w:rPr>
        <w:t xml:space="preserve">ransportation </w:t>
      </w:r>
      <w:r w:rsidRPr="008574BC">
        <w:rPr>
          <w:sz w:val="22"/>
          <w:szCs w:val="22"/>
        </w:rPr>
        <w:t>O</w:t>
      </w:r>
      <w:r>
        <w:rPr>
          <w:sz w:val="22"/>
          <w:szCs w:val="22"/>
        </w:rPr>
        <w:t>wner (TO)</w:t>
      </w:r>
      <w:r w:rsidRPr="008574BC">
        <w:rPr>
          <w:sz w:val="22"/>
          <w:szCs w:val="22"/>
        </w:rPr>
        <w:t xml:space="preserve"> Commodity </w:t>
      </w:r>
      <w:r w:rsidR="000214BE">
        <w:rPr>
          <w:sz w:val="22"/>
          <w:szCs w:val="22"/>
        </w:rPr>
        <w:t>charge</w:t>
      </w:r>
      <w:r w:rsidRPr="008574BC">
        <w:rPr>
          <w:sz w:val="22"/>
          <w:szCs w:val="22"/>
        </w:rPr>
        <w:t>s.</w:t>
      </w:r>
    </w:p>
    <w:p w:rsidR="00AA54A3" w:rsidRDefault="00AA54A3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AA54A3" w:rsidRPr="00AA54A3" w:rsidRDefault="00AA54A3" w:rsidP="00AA54A3">
      <w:pPr>
        <w:tabs>
          <w:tab w:val="left" w:pos="142"/>
        </w:tabs>
        <w:ind w:left="-567" w:right="-312"/>
        <w:rPr>
          <w:sz w:val="22"/>
          <w:szCs w:val="22"/>
        </w:rPr>
      </w:pPr>
      <w:r w:rsidRPr="00AA54A3">
        <w:rPr>
          <w:sz w:val="22"/>
          <w:szCs w:val="22"/>
        </w:rPr>
        <w:t xml:space="preserve">National Grid sets its </w:t>
      </w:r>
      <w:r w:rsidR="005833EB">
        <w:rPr>
          <w:sz w:val="22"/>
          <w:szCs w:val="22"/>
        </w:rPr>
        <w:t>charge</w:t>
      </w:r>
      <w:r w:rsidRPr="00AA54A3">
        <w:rPr>
          <w:sz w:val="22"/>
          <w:szCs w:val="22"/>
        </w:rPr>
        <w:t xml:space="preserve">s to recover the price controlled allowances set by Ofgem.  The current price control RIIO-T1 applies from 1 April 2013 and runs until 31 March 2021.  </w:t>
      </w:r>
    </w:p>
    <w:p w:rsidR="00731129" w:rsidRDefault="0073112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E66947" w:rsidRDefault="007E53DE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C</w:t>
      </w:r>
      <w:r w:rsidR="000214BE">
        <w:rPr>
          <w:sz w:val="22"/>
          <w:szCs w:val="22"/>
        </w:rPr>
        <w:t>harge</w:t>
      </w:r>
      <w:r w:rsidR="00333BD1">
        <w:rPr>
          <w:sz w:val="22"/>
          <w:szCs w:val="22"/>
        </w:rPr>
        <w:t xml:space="preserve">s are generally set before actual costs and allowed revenues have been finalised and </w:t>
      </w:r>
      <w:r w:rsidR="00E66947">
        <w:rPr>
          <w:sz w:val="22"/>
          <w:szCs w:val="22"/>
        </w:rPr>
        <w:t>can be subject to significant variances and volatility throughout the year, which are amplified by the fact that Indicative and Final notices and their related</w:t>
      </w:r>
      <w:r w:rsidR="00962406">
        <w:rPr>
          <w:sz w:val="22"/>
          <w:szCs w:val="22"/>
        </w:rPr>
        <w:t xml:space="preserve"> costs are forecast</w:t>
      </w:r>
      <w:r w:rsidR="00E66947">
        <w:rPr>
          <w:sz w:val="22"/>
          <w:szCs w:val="22"/>
        </w:rPr>
        <w:t xml:space="preserve"> 150</w:t>
      </w:r>
      <w:r w:rsidR="00E33144">
        <w:rPr>
          <w:rStyle w:val="FootnoteReference"/>
          <w:sz w:val="22"/>
          <w:szCs w:val="22"/>
        </w:rPr>
        <w:footnoteReference w:id="1"/>
      </w:r>
      <w:r w:rsidR="00E66947">
        <w:rPr>
          <w:sz w:val="22"/>
          <w:szCs w:val="22"/>
        </w:rPr>
        <w:t xml:space="preserve"> days and 2 months before actual </w:t>
      </w:r>
      <w:r w:rsidR="005833EB">
        <w:rPr>
          <w:sz w:val="22"/>
          <w:szCs w:val="22"/>
        </w:rPr>
        <w:t>charge</w:t>
      </w:r>
      <w:r w:rsidR="00E66947">
        <w:rPr>
          <w:sz w:val="22"/>
          <w:szCs w:val="22"/>
        </w:rPr>
        <w:t>s are implemented</w:t>
      </w:r>
      <w:r w:rsidR="00EB04CA">
        <w:rPr>
          <w:sz w:val="22"/>
          <w:szCs w:val="22"/>
        </w:rPr>
        <w:t xml:space="preserve"> and costs incurred</w:t>
      </w:r>
      <w:r w:rsidR="00E66947">
        <w:rPr>
          <w:sz w:val="22"/>
          <w:szCs w:val="22"/>
        </w:rPr>
        <w:t>.</w:t>
      </w:r>
    </w:p>
    <w:p w:rsidR="00E66947" w:rsidRDefault="00E66947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6F1CC9" w:rsidRDefault="00E66947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National Grid has an obligation </w:t>
      </w:r>
      <w:r w:rsidR="006F1CC9">
        <w:rPr>
          <w:sz w:val="22"/>
          <w:szCs w:val="22"/>
        </w:rPr>
        <w:t xml:space="preserve">to use its </w:t>
      </w:r>
      <w:r w:rsidR="006F1CC9" w:rsidRPr="006F1CC9">
        <w:rPr>
          <w:sz w:val="22"/>
          <w:szCs w:val="22"/>
        </w:rPr>
        <w:t>best endeavours</w:t>
      </w:r>
      <w:r w:rsidR="006F1CC9">
        <w:rPr>
          <w:sz w:val="22"/>
          <w:szCs w:val="22"/>
        </w:rPr>
        <w:t xml:space="preserve"> in setting its </w:t>
      </w:r>
      <w:r w:rsidR="005833EB">
        <w:rPr>
          <w:sz w:val="22"/>
          <w:szCs w:val="22"/>
        </w:rPr>
        <w:t>charge</w:t>
      </w:r>
      <w:r w:rsidR="006F1CC9">
        <w:rPr>
          <w:sz w:val="22"/>
          <w:szCs w:val="22"/>
        </w:rPr>
        <w:t>s to ensure</w:t>
      </w:r>
      <w:r w:rsidR="003E657A">
        <w:rPr>
          <w:sz w:val="22"/>
          <w:szCs w:val="22"/>
        </w:rPr>
        <w:t xml:space="preserve"> that</w:t>
      </w:r>
      <w:r w:rsidR="006E64A8">
        <w:rPr>
          <w:sz w:val="22"/>
          <w:szCs w:val="22"/>
        </w:rPr>
        <w:t>,</w:t>
      </w:r>
      <w:r w:rsidR="003E657A">
        <w:rPr>
          <w:sz w:val="22"/>
          <w:szCs w:val="22"/>
        </w:rPr>
        <w:t xml:space="preserve"> in respect of any formula</w:t>
      </w:r>
      <w:r w:rsidR="006F1CC9">
        <w:rPr>
          <w:sz w:val="22"/>
          <w:szCs w:val="22"/>
        </w:rPr>
        <w:t xml:space="preserve"> year</w:t>
      </w:r>
      <w:r w:rsidR="006E64A8">
        <w:rPr>
          <w:sz w:val="22"/>
          <w:szCs w:val="22"/>
        </w:rPr>
        <w:t>,</w:t>
      </w:r>
      <w:r w:rsidR="006F1CC9">
        <w:rPr>
          <w:sz w:val="22"/>
          <w:szCs w:val="22"/>
        </w:rPr>
        <w:t xml:space="preserve"> the revenue which it derives </w:t>
      </w:r>
      <w:r w:rsidR="006E64A8">
        <w:rPr>
          <w:sz w:val="22"/>
          <w:szCs w:val="22"/>
        </w:rPr>
        <w:t>(</w:t>
      </w:r>
      <w:r w:rsidR="006F1CC9">
        <w:rPr>
          <w:sz w:val="22"/>
          <w:szCs w:val="22"/>
        </w:rPr>
        <w:t>from SOR</w:t>
      </w:r>
      <w:r w:rsidR="006F1CC9" w:rsidRPr="006F1CC9">
        <w:rPr>
          <w:sz w:val="22"/>
          <w:szCs w:val="22"/>
          <w:vertAlign w:val="subscript"/>
        </w:rPr>
        <w:t>t</w:t>
      </w:r>
      <w:r w:rsidR="006F1CC9">
        <w:rPr>
          <w:sz w:val="22"/>
          <w:szCs w:val="22"/>
        </w:rPr>
        <w:t xml:space="preserve"> &amp; TOR</w:t>
      </w:r>
      <w:r w:rsidR="006F1CC9" w:rsidRPr="006F1CC9">
        <w:rPr>
          <w:sz w:val="22"/>
          <w:szCs w:val="22"/>
          <w:vertAlign w:val="subscript"/>
        </w:rPr>
        <w:t>t</w:t>
      </w:r>
      <w:r w:rsidR="006F1CC9">
        <w:rPr>
          <w:sz w:val="22"/>
          <w:szCs w:val="22"/>
        </w:rPr>
        <w:t xml:space="preserve">) shall not exceed the maximum NTS </w:t>
      </w:r>
      <w:r w:rsidR="00F46C85">
        <w:rPr>
          <w:sz w:val="22"/>
          <w:szCs w:val="22"/>
        </w:rPr>
        <w:t xml:space="preserve">allowed </w:t>
      </w:r>
      <w:r w:rsidR="00B049BF">
        <w:rPr>
          <w:sz w:val="22"/>
          <w:szCs w:val="22"/>
        </w:rPr>
        <w:t>revenue</w:t>
      </w:r>
      <w:r w:rsidR="00F46C85">
        <w:rPr>
          <w:sz w:val="22"/>
          <w:szCs w:val="22"/>
        </w:rPr>
        <w:t xml:space="preserve"> </w:t>
      </w:r>
      <w:r w:rsidR="006F1CC9">
        <w:rPr>
          <w:sz w:val="22"/>
          <w:szCs w:val="22"/>
        </w:rPr>
        <w:t>(SOMR</w:t>
      </w:r>
      <w:r w:rsidR="006F1CC9" w:rsidRPr="006F1CC9">
        <w:rPr>
          <w:sz w:val="22"/>
          <w:szCs w:val="22"/>
          <w:vertAlign w:val="subscript"/>
        </w:rPr>
        <w:t>t</w:t>
      </w:r>
      <w:r w:rsidR="006F1CC9">
        <w:rPr>
          <w:sz w:val="22"/>
          <w:szCs w:val="22"/>
        </w:rPr>
        <w:t xml:space="preserve"> &amp; MR</w:t>
      </w:r>
      <w:r w:rsidR="006F1CC9" w:rsidRPr="006F1CC9">
        <w:rPr>
          <w:sz w:val="22"/>
          <w:szCs w:val="22"/>
          <w:vertAlign w:val="subscript"/>
        </w:rPr>
        <w:t>t</w:t>
      </w:r>
      <w:r w:rsidR="00F46C85" w:rsidRPr="00B14568">
        <w:rPr>
          <w:sz w:val="22"/>
          <w:szCs w:val="22"/>
        </w:rPr>
        <w:t>)</w:t>
      </w:r>
      <w:r w:rsidR="006F1CC9">
        <w:rPr>
          <w:sz w:val="22"/>
          <w:szCs w:val="22"/>
        </w:rPr>
        <w:t>.</w:t>
      </w:r>
    </w:p>
    <w:p w:rsidR="006F1CC9" w:rsidRDefault="006F1CC9" w:rsidP="00E84004">
      <w:pPr>
        <w:tabs>
          <w:tab w:val="left" w:pos="142"/>
        </w:tabs>
        <w:ind w:left="-567" w:right="-312"/>
        <w:jc w:val="left"/>
        <w:rPr>
          <w:sz w:val="22"/>
          <w:szCs w:val="22"/>
        </w:rPr>
      </w:pPr>
    </w:p>
    <w:p w:rsidR="009F397F" w:rsidRDefault="006F1CC9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Therefore</w:t>
      </w:r>
      <w:r w:rsidR="00F46C85">
        <w:rPr>
          <w:sz w:val="22"/>
          <w:szCs w:val="22"/>
        </w:rPr>
        <w:t>,</w:t>
      </w:r>
      <w:r>
        <w:rPr>
          <w:sz w:val="22"/>
          <w:szCs w:val="22"/>
        </w:rPr>
        <w:t xml:space="preserve"> as costs fluctuate throughout the year, </w:t>
      </w:r>
      <w:r w:rsidR="00B049BF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charging obligations on National Grid ensure that </w:t>
      </w:r>
      <w:r w:rsidR="005833EB">
        <w:rPr>
          <w:sz w:val="22"/>
          <w:szCs w:val="22"/>
        </w:rPr>
        <w:t>charge</w:t>
      </w:r>
      <w:r>
        <w:rPr>
          <w:sz w:val="22"/>
          <w:szCs w:val="22"/>
        </w:rPr>
        <w:t>s</w:t>
      </w:r>
      <w:r w:rsidR="00432B71">
        <w:rPr>
          <w:sz w:val="22"/>
          <w:szCs w:val="22"/>
        </w:rPr>
        <w:t xml:space="preserve"> </w:t>
      </w:r>
      <w:r w:rsidR="00AA54A3">
        <w:rPr>
          <w:sz w:val="22"/>
          <w:szCs w:val="22"/>
        </w:rPr>
        <w:t xml:space="preserve">may </w:t>
      </w:r>
      <w:r>
        <w:rPr>
          <w:sz w:val="22"/>
          <w:szCs w:val="22"/>
        </w:rPr>
        <w:t>fluctuate as well.</w:t>
      </w:r>
      <w:r w:rsidR="00C05AD2">
        <w:rPr>
          <w:sz w:val="22"/>
          <w:szCs w:val="22"/>
        </w:rPr>
        <w:t xml:space="preserve"> </w:t>
      </w:r>
    </w:p>
    <w:p w:rsidR="009F397F" w:rsidRDefault="009F397F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E914C8" w:rsidRDefault="00E914C8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By providing greater transparency of the individual cost components and how these contribute to </w:t>
      </w:r>
      <w:r w:rsidR="005833EB">
        <w:rPr>
          <w:sz w:val="22"/>
          <w:szCs w:val="22"/>
        </w:rPr>
        <w:t>charge</w:t>
      </w:r>
      <w:r>
        <w:rPr>
          <w:sz w:val="22"/>
          <w:szCs w:val="22"/>
        </w:rPr>
        <w:t xml:space="preserve">s, </w:t>
      </w:r>
      <w:r w:rsidR="00B049BF">
        <w:rPr>
          <w:sz w:val="22"/>
          <w:szCs w:val="22"/>
        </w:rPr>
        <w:t>NTS users could potentially</w:t>
      </w:r>
      <w:r>
        <w:rPr>
          <w:sz w:val="22"/>
          <w:szCs w:val="22"/>
        </w:rPr>
        <w:t xml:space="preserve"> forecast any future fluctuations and price changes.</w:t>
      </w:r>
    </w:p>
    <w:p w:rsidR="00E914C8" w:rsidRDefault="00E914C8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6F1CC9" w:rsidRDefault="0064010F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If you w</w:t>
      </w:r>
      <w:r w:rsidR="009F397F">
        <w:rPr>
          <w:sz w:val="22"/>
          <w:szCs w:val="22"/>
        </w:rPr>
        <w:t xml:space="preserve">ould like further </w:t>
      </w:r>
      <w:r>
        <w:rPr>
          <w:sz w:val="22"/>
          <w:szCs w:val="22"/>
        </w:rPr>
        <w:t>information on how the costs and allowed revenues are derived, pleas</w:t>
      </w:r>
      <w:r w:rsidR="003E657A">
        <w:rPr>
          <w:sz w:val="22"/>
          <w:szCs w:val="22"/>
        </w:rPr>
        <w:t>e refer to System Operator incentive consultations</w:t>
      </w:r>
      <w:r w:rsidR="00B049BF">
        <w:rPr>
          <w:sz w:val="22"/>
          <w:szCs w:val="22"/>
        </w:rPr>
        <w:t>, TO Price Control</w:t>
      </w:r>
      <w:r w:rsidR="003E657A">
        <w:rPr>
          <w:sz w:val="22"/>
          <w:szCs w:val="22"/>
        </w:rPr>
        <w:t xml:space="preserve"> documents and charging notices for further detail regarding these matters.</w:t>
      </w:r>
    </w:p>
    <w:p w:rsidR="00693FA6" w:rsidRDefault="00693FA6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F46C85" w:rsidRPr="00AF199F" w:rsidRDefault="00F46C85" w:rsidP="00AF199F">
      <w:pPr>
        <w:pStyle w:val="Heading4"/>
        <w:pBdr>
          <w:top w:val="single" w:sz="4" w:space="3" w:color="4F81BD"/>
          <w:bottom w:val="single" w:sz="4" w:space="10" w:color="4F81BD"/>
        </w:pBdr>
        <w:tabs>
          <w:tab w:val="left" w:pos="142"/>
        </w:tabs>
        <w:ind w:left="-567" w:right="-312" w:firstLine="0"/>
        <w:rPr>
          <w:color w:val="4F81BD"/>
        </w:rPr>
      </w:pPr>
      <w:r w:rsidRPr="00AF199F">
        <w:rPr>
          <w:color w:val="4F81BD"/>
        </w:rPr>
        <w:t>Other related information sources</w:t>
      </w:r>
    </w:p>
    <w:p w:rsidR="00F46C85" w:rsidRDefault="00F46C85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693FA6" w:rsidRDefault="00693FA6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This document is one of a suite of documents that describe the </w:t>
      </w:r>
      <w:r w:rsidR="00E5405F">
        <w:rPr>
          <w:sz w:val="22"/>
          <w:szCs w:val="22"/>
        </w:rPr>
        <w:t xml:space="preserve">NTS </w:t>
      </w:r>
      <w:r w:rsidR="005833EB">
        <w:rPr>
          <w:sz w:val="22"/>
          <w:szCs w:val="22"/>
        </w:rPr>
        <w:t>charge</w:t>
      </w:r>
      <w:r>
        <w:rPr>
          <w:sz w:val="22"/>
          <w:szCs w:val="22"/>
        </w:rPr>
        <w:t>s levied by National Grid and the methodologies behind them. The other documents that are available are:</w:t>
      </w:r>
    </w:p>
    <w:p w:rsidR="00693FA6" w:rsidRDefault="00693FA6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8F155B" w:rsidRDefault="008F155B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8F155B" w:rsidRDefault="008F155B" w:rsidP="00AF199F">
      <w:pPr>
        <w:numPr>
          <w:ilvl w:val="0"/>
          <w:numId w:val="31"/>
        </w:numPr>
        <w:pBdr>
          <w:top w:val="single" w:sz="4" w:space="6" w:color="548DD4"/>
          <w:left w:val="single" w:sz="4" w:space="4" w:color="548DD4"/>
          <w:bottom w:val="single" w:sz="4" w:space="6" w:color="548DD4"/>
          <w:right w:val="single" w:sz="4" w:space="4" w:color="548DD4"/>
        </w:pBdr>
        <w:shd w:val="clear" w:color="auto" w:fill="548DD4"/>
        <w:tabs>
          <w:tab w:val="clear" w:pos="720"/>
          <w:tab w:val="left" w:pos="142"/>
          <w:tab w:val="num" w:pos="1276"/>
        </w:tabs>
        <w:ind w:left="993" w:right="-312" w:hanging="567"/>
        <w:rPr>
          <w:color w:val="FFFFFF"/>
          <w:sz w:val="22"/>
          <w:szCs w:val="22"/>
        </w:rPr>
      </w:pPr>
    </w:p>
    <w:p w:rsidR="00693FA6" w:rsidRPr="00AF199F" w:rsidRDefault="00693FA6" w:rsidP="00AF199F">
      <w:pPr>
        <w:numPr>
          <w:ilvl w:val="0"/>
          <w:numId w:val="31"/>
        </w:numPr>
        <w:pBdr>
          <w:top w:val="single" w:sz="4" w:space="6" w:color="548DD4"/>
          <w:left w:val="single" w:sz="4" w:space="4" w:color="548DD4"/>
          <w:bottom w:val="single" w:sz="4" w:space="6" w:color="548DD4"/>
          <w:right w:val="single" w:sz="4" w:space="4" w:color="548DD4"/>
        </w:pBdr>
        <w:shd w:val="clear" w:color="auto" w:fill="548DD4"/>
        <w:tabs>
          <w:tab w:val="clear" w:pos="720"/>
          <w:tab w:val="left" w:pos="142"/>
          <w:tab w:val="num" w:pos="1276"/>
        </w:tabs>
        <w:ind w:left="993" w:right="-312" w:hanging="567"/>
        <w:rPr>
          <w:color w:val="FFFFFF"/>
          <w:sz w:val="22"/>
          <w:szCs w:val="22"/>
        </w:rPr>
      </w:pPr>
      <w:r w:rsidRPr="00AF199F">
        <w:rPr>
          <w:color w:val="FFFFFF"/>
          <w:sz w:val="22"/>
          <w:szCs w:val="22"/>
        </w:rPr>
        <w:t>Statement of the Gas Transportation Charging Methodology</w:t>
      </w:r>
    </w:p>
    <w:p w:rsidR="00E3195A" w:rsidRPr="00AF199F" w:rsidRDefault="00E3195A" w:rsidP="00AF199F">
      <w:pPr>
        <w:numPr>
          <w:ilvl w:val="0"/>
          <w:numId w:val="31"/>
        </w:numPr>
        <w:pBdr>
          <w:top w:val="single" w:sz="4" w:space="6" w:color="548DD4"/>
          <w:left w:val="single" w:sz="4" w:space="4" w:color="548DD4"/>
          <w:bottom w:val="single" w:sz="4" w:space="6" w:color="548DD4"/>
          <w:right w:val="single" w:sz="4" w:space="4" w:color="548DD4"/>
        </w:pBdr>
        <w:shd w:val="clear" w:color="auto" w:fill="548DD4"/>
        <w:tabs>
          <w:tab w:val="clear" w:pos="720"/>
          <w:tab w:val="left" w:pos="142"/>
          <w:tab w:val="num" w:pos="1276"/>
        </w:tabs>
        <w:ind w:left="993" w:right="-312" w:hanging="567"/>
        <w:rPr>
          <w:color w:val="FFFFFF"/>
          <w:sz w:val="22"/>
          <w:szCs w:val="22"/>
        </w:rPr>
      </w:pPr>
      <w:r w:rsidRPr="00AF199F">
        <w:rPr>
          <w:color w:val="FFFFFF"/>
          <w:sz w:val="22"/>
          <w:szCs w:val="22"/>
        </w:rPr>
        <w:t>UNC Section Y - Gas Transportation Charging Methodology</w:t>
      </w:r>
    </w:p>
    <w:p w:rsidR="00693FA6" w:rsidRPr="00AF199F" w:rsidRDefault="00693FA6" w:rsidP="00AF199F">
      <w:pPr>
        <w:numPr>
          <w:ilvl w:val="0"/>
          <w:numId w:val="31"/>
        </w:numPr>
        <w:pBdr>
          <w:top w:val="single" w:sz="4" w:space="6" w:color="548DD4"/>
          <w:left w:val="single" w:sz="4" w:space="4" w:color="548DD4"/>
          <w:bottom w:val="single" w:sz="4" w:space="6" w:color="548DD4"/>
          <w:right w:val="single" w:sz="4" w:space="4" w:color="548DD4"/>
        </w:pBdr>
        <w:shd w:val="clear" w:color="auto" w:fill="548DD4"/>
        <w:tabs>
          <w:tab w:val="clear" w:pos="720"/>
          <w:tab w:val="left" w:pos="142"/>
          <w:tab w:val="num" w:pos="1276"/>
        </w:tabs>
        <w:ind w:left="993" w:right="-312" w:hanging="567"/>
        <w:rPr>
          <w:color w:val="FFFFFF"/>
          <w:sz w:val="22"/>
          <w:szCs w:val="22"/>
        </w:rPr>
      </w:pPr>
      <w:r w:rsidRPr="00AF199F">
        <w:rPr>
          <w:color w:val="FFFFFF"/>
          <w:sz w:val="22"/>
          <w:szCs w:val="22"/>
        </w:rPr>
        <w:t xml:space="preserve">Statement of Gas Transmission Transportation </w:t>
      </w:r>
      <w:r w:rsidR="000214BE" w:rsidRPr="00D33BBE">
        <w:rPr>
          <w:color w:val="FFFFFF"/>
          <w:sz w:val="22"/>
          <w:szCs w:val="22"/>
        </w:rPr>
        <w:t>charge</w:t>
      </w:r>
      <w:r w:rsidRPr="00AF199F">
        <w:rPr>
          <w:color w:val="FFFFFF"/>
          <w:sz w:val="22"/>
          <w:szCs w:val="22"/>
        </w:rPr>
        <w:t>s</w:t>
      </w:r>
    </w:p>
    <w:p w:rsidR="00693FA6" w:rsidRPr="00AF199F" w:rsidRDefault="00693FA6" w:rsidP="00AF199F">
      <w:pPr>
        <w:numPr>
          <w:ilvl w:val="0"/>
          <w:numId w:val="31"/>
        </w:numPr>
        <w:pBdr>
          <w:top w:val="single" w:sz="4" w:space="6" w:color="548DD4"/>
          <w:left w:val="single" w:sz="4" w:space="4" w:color="548DD4"/>
          <w:bottom w:val="single" w:sz="4" w:space="6" w:color="548DD4"/>
          <w:right w:val="single" w:sz="4" w:space="4" w:color="548DD4"/>
        </w:pBdr>
        <w:shd w:val="clear" w:color="auto" w:fill="548DD4"/>
        <w:tabs>
          <w:tab w:val="clear" w:pos="720"/>
          <w:tab w:val="left" w:pos="142"/>
          <w:tab w:val="num" w:pos="1276"/>
        </w:tabs>
        <w:ind w:left="993" w:right="-312" w:hanging="567"/>
        <w:rPr>
          <w:color w:val="FFFFFF"/>
          <w:sz w:val="22"/>
          <w:szCs w:val="22"/>
        </w:rPr>
      </w:pPr>
      <w:r w:rsidRPr="00AF199F">
        <w:rPr>
          <w:color w:val="FFFFFF"/>
          <w:sz w:val="22"/>
          <w:szCs w:val="22"/>
        </w:rPr>
        <w:t>Entry Capacity Release Methodology Statement</w:t>
      </w:r>
    </w:p>
    <w:p w:rsidR="00693FA6" w:rsidRPr="00AF199F" w:rsidRDefault="00693FA6" w:rsidP="00AF199F">
      <w:pPr>
        <w:numPr>
          <w:ilvl w:val="0"/>
          <w:numId w:val="31"/>
        </w:numPr>
        <w:pBdr>
          <w:top w:val="single" w:sz="4" w:space="6" w:color="548DD4"/>
          <w:left w:val="single" w:sz="4" w:space="4" w:color="548DD4"/>
          <w:bottom w:val="single" w:sz="4" w:space="6" w:color="548DD4"/>
          <w:right w:val="single" w:sz="4" w:space="4" w:color="548DD4"/>
        </w:pBdr>
        <w:shd w:val="clear" w:color="auto" w:fill="548DD4"/>
        <w:tabs>
          <w:tab w:val="clear" w:pos="720"/>
          <w:tab w:val="left" w:pos="142"/>
          <w:tab w:val="num" w:pos="1276"/>
        </w:tabs>
        <w:ind w:left="993" w:right="-312" w:hanging="567"/>
        <w:rPr>
          <w:color w:val="FFFFFF"/>
          <w:sz w:val="22"/>
          <w:szCs w:val="22"/>
        </w:rPr>
      </w:pPr>
      <w:r w:rsidRPr="00AF199F">
        <w:rPr>
          <w:color w:val="FFFFFF"/>
          <w:sz w:val="22"/>
          <w:szCs w:val="22"/>
        </w:rPr>
        <w:t>Connection Charging Statement</w:t>
      </w:r>
    </w:p>
    <w:p w:rsidR="00693FA6" w:rsidRDefault="00693FA6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4B4B03" w:rsidRDefault="004B4B03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AA54A3" w:rsidRDefault="00AA54A3" w:rsidP="009008CC">
      <w:pPr>
        <w:pStyle w:val="Heading4"/>
        <w:tabs>
          <w:tab w:val="left" w:pos="142"/>
        </w:tabs>
        <w:ind w:left="-567" w:right="-312" w:firstLine="0"/>
        <w:rPr>
          <w:b w:val="0"/>
          <w:sz w:val="22"/>
          <w:szCs w:val="22"/>
        </w:rPr>
      </w:pPr>
      <w:r w:rsidRPr="00AA54A3">
        <w:rPr>
          <w:b w:val="0"/>
          <w:sz w:val="22"/>
          <w:szCs w:val="22"/>
        </w:rPr>
        <w:t>Please see the Charging section on National Grid’s website</w:t>
      </w:r>
      <w:r w:rsidR="004B4B03">
        <w:rPr>
          <w:b w:val="0"/>
          <w:sz w:val="22"/>
          <w:szCs w:val="22"/>
        </w:rPr>
        <w:t>.</w:t>
      </w:r>
    </w:p>
    <w:p w:rsidR="004B4B03" w:rsidRPr="00AF199F" w:rsidRDefault="004B4B03" w:rsidP="00AF199F">
      <w:pPr>
        <w:rPr>
          <w:lang w:eastAsia="en-US"/>
        </w:rPr>
      </w:pPr>
    </w:p>
    <w:p w:rsidR="00AA54A3" w:rsidRPr="00AA54A3" w:rsidRDefault="00AA54A3" w:rsidP="009008CC">
      <w:pPr>
        <w:pStyle w:val="Heading4"/>
        <w:tabs>
          <w:tab w:val="left" w:pos="142"/>
        </w:tabs>
        <w:ind w:left="-567" w:right="-312" w:firstLine="0"/>
        <w:rPr>
          <w:rFonts w:cs="Arial"/>
          <w:b w:val="0"/>
          <w:snapToGrid/>
          <w:color w:val="auto"/>
          <w:sz w:val="22"/>
          <w:szCs w:val="22"/>
          <w:lang w:eastAsia="en-GB"/>
        </w:rPr>
      </w:pPr>
    </w:p>
    <w:p w:rsidR="0041313F" w:rsidRPr="00AF199F" w:rsidRDefault="0041313F" w:rsidP="00AF199F">
      <w:pPr>
        <w:pStyle w:val="Heading4"/>
        <w:pBdr>
          <w:top w:val="single" w:sz="4" w:space="3" w:color="4F81BD"/>
          <w:bottom w:val="single" w:sz="4" w:space="10" w:color="4F81BD"/>
        </w:pBdr>
        <w:tabs>
          <w:tab w:val="left" w:pos="142"/>
        </w:tabs>
        <w:ind w:left="-567" w:right="-312" w:firstLine="0"/>
        <w:rPr>
          <w:color w:val="4F81BD"/>
        </w:rPr>
      </w:pPr>
      <w:r w:rsidRPr="00AF199F">
        <w:rPr>
          <w:color w:val="4F81BD"/>
        </w:rPr>
        <w:t>Structure of this document</w:t>
      </w:r>
    </w:p>
    <w:p w:rsidR="0041313F" w:rsidRDefault="0041313F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E46AF8" w:rsidRDefault="00D52A5C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Th</w:t>
      </w:r>
      <w:r w:rsidR="00693FA6">
        <w:rPr>
          <w:sz w:val="22"/>
          <w:szCs w:val="22"/>
        </w:rPr>
        <w:t>is</w:t>
      </w:r>
      <w:r>
        <w:rPr>
          <w:sz w:val="22"/>
          <w:szCs w:val="22"/>
        </w:rPr>
        <w:t xml:space="preserve"> document is divided into </w:t>
      </w:r>
      <w:r w:rsidR="00AD4922">
        <w:rPr>
          <w:sz w:val="22"/>
          <w:szCs w:val="22"/>
        </w:rPr>
        <w:t>four</w:t>
      </w:r>
      <w:r>
        <w:rPr>
          <w:sz w:val="22"/>
          <w:szCs w:val="22"/>
        </w:rPr>
        <w:t xml:space="preserve"> sections:</w:t>
      </w:r>
    </w:p>
    <w:p w:rsidR="00F46C85" w:rsidRDefault="00F46C85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3B4E78" w:rsidRDefault="00D52A5C" w:rsidP="00E84004">
      <w:pPr>
        <w:numPr>
          <w:ilvl w:val="0"/>
          <w:numId w:val="9"/>
        </w:numPr>
        <w:tabs>
          <w:tab w:val="left" w:pos="142"/>
        </w:tabs>
        <w:ind w:left="-567" w:right="-312" w:firstLine="0"/>
        <w:rPr>
          <w:sz w:val="22"/>
          <w:szCs w:val="22"/>
        </w:rPr>
      </w:pPr>
      <w:r>
        <w:rPr>
          <w:sz w:val="22"/>
          <w:szCs w:val="22"/>
        </w:rPr>
        <w:t xml:space="preserve">Part A relates to the SO Commodity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>;</w:t>
      </w:r>
    </w:p>
    <w:p w:rsidR="00F46C85" w:rsidRDefault="00F46C85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F46C85" w:rsidRDefault="00D52A5C" w:rsidP="00E84004">
      <w:pPr>
        <w:numPr>
          <w:ilvl w:val="0"/>
          <w:numId w:val="9"/>
        </w:numPr>
        <w:tabs>
          <w:tab w:val="left" w:pos="142"/>
        </w:tabs>
        <w:ind w:left="-567" w:right="-312" w:firstLine="0"/>
        <w:rPr>
          <w:sz w:val="22"/>
          <w:szCs w:val="22"/>
        </w:rPr>
      </w:pPr>
      <w:r>
        <w:rPr>
          <w:sz w:val="22"/>
          <w:szCs w:val="22"/>
        </w:rPr>
        <w:t xml:space="preserve">Part B relates to the TO </w:t>
      </w:r>
      <w:r w:rsidR="009D67C2">
        <w:rPr>
          <w:sz w:val="22"/>
          <w:szCs w:val="22"/>
        </w:rPr>
        <w:t xml:space="preserve">Entry </w:t>
      </w:r>
      <w:r>
        <w:rPr>
          <w:sz w:val="22"/>
          <w:szCs w:val="22"/>
        </w:rPr>
        <w:t xml:space="preserve">Commodity </w:t>
      </w:r>
      <w:r w:rsidR="000214BE">
        <w:rPr>
          <w:sz w:val="22"/>
          <w:szCs w:val="22"/>
        </w:rPr>
        <w:t>charge</w:t>
      </w:r>
      <w:r w:rsidR="00075B10">
        <w:rPr>
          <w:sz w:val="22"/>
          <w:szCs w:val="22"/>
        </w:rPr>
        <w:t xml:space="preserve">; </w:t>
      </w:r>
    </w:p>
    <w:p w:rsidR="00C017C1" w:rsidRDefault="00C017C1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C017C1" w:rsidRDefault="00C017C1" w:rsidP="00E84004">
      <w:pPr>
        <w:numPr>
          <w:ilvl w:val="0"/>
          <w:numId w:val="9"/>
        </w:numPr>
        <w:tabs>
          <w:tab w:val="left" w:pos="142"/>
        </w:tabs>
        <w:ind w:left="-567" w:right="-312" w:firstLine="0"/>
        <w:rPr>
          <w:sz w:val="22"/>
          <w:szCs w:val="22"/>
        </w:rPr>
      </w:pPr>
      <w:r>
        <w:rPr>
          <w:sz w:val="22"/>
          <w:szCs w:val="22"/>
        </w:rPr>
        <w:t xml:space="preserve">Part C relates to </w:t>
      </w:r>
      <w:r w:rsidR="001C1B21">
        <w:rPr>
          <w:sz w:val="22"/>
          <w:szCs w:val="22"/>
        </w:rPr>
        <w:t xml:space="preserve">the </w:t>
      </w:r>
      <w:r>
        <w:rPr>
          <w:sz w:val="22"/>
          <w:szCs w:val="22"/>
        </w:rPr>
        <w:t>TO Exit Capacity and</w:t>
      </w:r>
      <w:r w:rsidR="00A45CE0">
        <w:rPr>
          <w:sz w:val="22"/>
          <w:szCs w:val="22"/>
        </w:rPr>
        <w:t xml:space="preserve"> TO Exit Commodity </w:t>
      </w:r>
      <w:r w:rsidR="000214BE">
        <w:rPr>
          <w:sz w:val="22"/>
          <w:szCs w:val="22"/>
        </w:rPr>
        <w:t>charge</w:t>
      </w:r>
      <w:r w:rsidR="00A45CE0">
        <w:rPr>
          <w:sz w:val="22"/>
          <w:szCs w:val="22"/>
        </w:rPr>
        <w:t>s;</w:t>
      </w:r>
    </w:p>
    <w:p w:rsidR="003B4E78" w:rsidRDefault="003B4E78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DC51E1" w:rsidRPr="008574BC" w:rsidRDefault="00075B10" w:rsidP="009008CC">
      <w:pPr>
        <w:numPr>
          <w:ilvl w:val="0"/>
          <w:numId w:val="9"/>
        </w:numPr>
        <w:tabs>
          <w:tab w:val="left" w:pos="142"/>
        </w:tabs>
        <w:ind w:left="142" w:right="-312" w:hanging="709"/>
        <w:rPr>
          <w:sz w:val="22"/>
          <w:szCs w:val="22"/>
        </w:rPr>
      </w:pPr>
      <w:r>
        <w:rPr>
          <w:sz w:val="22"/>
          <w:szCs w:val="22"/>
        </w:rPr>
        <w:t xml:space="preserve">Part </w:t>
      </w:r>
      <w:r w:rsidR="00C017C1">
        <w:rPr>
          <w:sz w:val="22"/>
          <w:szCs w:val="22"/>
        </w:rPr>
        <w:t>D</w:t>
      </w:r>
      <w:r>
        <w:rPr>
          <w:sz w:val="22"/>
          <w:szCs w:val="22"/>
        </w:rPr>
        <w:t xml:space="preserve"> provides details of the annual </w:t>
      </w:r>
      <w:r w:rsidR="005833EB">
        <w:rPr>
          <w:sz w:val="22"/>
          <w:szCs w:val="22"/>
        </w:rPr>
        <w:t>charge</w:t>
      </w:r>
      <w:r>
        <w:rPr>
          <w:sz w:val="22"/>
          <w:szCs w:val="22"/>
        </w:rPr>
        <w:t xml:space="preserve"> setting timetable and sources of further information.</w:t>
      </w:r>
    </w:p>
    <w:p w:rsidR="00DC51E1" w:rsidRPr="00F278FC" w:rsidRDefault="00DC51E1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DE4E92" w:rsidRPr="00AF199F" w:rsidRDefault="00DE4E92" w:rsidP="00AF199F">
      <w:pPr>
        <w:pStyle w:val="Heading4"/>
        <w:pBdr>
          <w:top w:val="single" w:sz="4" w:space="3" w:color="4F81BD"/>
          <w:bottom w:val="single" w:sz="4" w:space="10" w:color="4F81BD"/>
        </w:pBdr>
        <w:tabs>
          <w:tab w:val="left" w:pos="142"/>
        </w:tabs>
        <w:spacing w:before="240"/>
        <w:ind w:left="-567" w:right="-312" w:firstLine="0"/>
        <w:rPr>
          <w:color w:val="4F81BD"/>
        </w:rPr>
      </w:pPr>
      <w:r w:rsidRPr="00AF199F">
        <w:rPr>
          <w:color w:val="4F81BD"/>
        </w:rPr>
        <w:t>Comments &amp; Feedback</w:t>
      </w:r>
    </w:p>
    <w:p w:rsidR="00DE4E92" w:rsidRPr="00F278FC" w:rsidRDefault="00DE4E92" w:rsidP="00AF199F">
      <w:pPr>
        <w:pStyle w:val="Style10ptLinespacingAtleast14pt"/>
        <w:tabs>
          <w:tab w:val="left" w:pos="142"/>
        </w:tabs>
        <w:spacing w:before="240"/>
        <w:ind w:left="-567" w:right="-312"/>
        <w:rPr>
          <w:rFonts w:cs="Arial"/>
          <w:sz w:val="22"/>
          <w:szCs w:val="22"/>
        </w:rPr>
      </w:pPr>
      <w:r w:rsidRPr="00F278FC">
        <w:rPr>
          <w:rFonts w:cs="Arial"/>
          <w:sz w:val="22"/>
          <w:szCs w:val="22"/>
        </w:rPr>
        <w:t xml:space="preserve">As part of our commitment to customers, National Grid welcomes comments and feedback on the information contained in this notice.  </w:t>
      </w:r>
      <w:proofErr w:type="gramStart"/>
      <w:r w:rsidRPr="00F278FC">
        <w:rPr>
          <w:rFonts w:cs="Arial"/>
          <w:sz w:val="22"/>
          <w:szCs w:val="22"/>
        </w:rPr>
        <w:t>In particular, to</w:t>
      </w:r>
      <w:proofErr w:type="gramEnd"/>
      <w:r w:rsidRPr="00F278FC">
        <w:rPr>
          <w:rFonts w:cs="Arial"/>
          <w:sz w:val="22"/>
          <w:szCs w:val="22"/>
        </w:rPr>
        <w:t xml:space="preserve"> ensure that information is provided and presented in a way that is of most use to customers, we would welcome specific feedback on:</w:t>
      </w:r>
    </w:p>
    <w:p w:rsidR="00DE4E92" w:rsidRPr="00F278FC" w:rsidRDefault="00DE4E92" w:rsidP="00E84004">
      <w:pPr>
        <w:pStyle w:val="Style10ptLinespacingAtleast14pt"/>
        <w:numPr>
          <w:ilvl w:val="0"/>
          <w:numId w:val="29"/>
        </w:numPr>
        <w:tabs>
          <w:tab w:val="left" w:pos="142"/>
        </w:tabs>
        <w:ind w:left="-567" w:right="-312" w:firstLine="0"/>
        <w:rPr>
          <w:rFonts w:cs="Arial"/>
          <w:sz w:val="22"/>
          <w:szCs w:val="22"/>
        </w:rPr>
      </w:pPr>
      <w:r w:rsidRPr="00F278FC">
        <w:rPr>
          <w:rFonts w:cs="Arial"/>
          <w:sz w:val="22"/>
          <w:szCs w:val="22"/>
        </w:rPr>
        <w:t xml:space="preserve">the level of numeric detail provided to explain </w:t>
      </w:r>
      <w:r w:rsidR="005833EB">
        <w:rPr>
          <w:rFonts w:cs="Arial"/>
          <w:sz w:val="22"/>
          <w:szCs w:val="22"/>
        </w:rPr>
        <w:t>charge</w:t>
      </w:r>
      <w:r w:rsidRPr="00F278FC">
        <w:rPr>
          <w:rFonts w:cs="Arial"/>
          <w:sz w:val="22"/>
          <w:szCs w:val="22"/>
        </w:rPr>
        <w:t xml:space="preserve"> changes;</w:t>
      </w:r>
    </w:p>
    <w:p w:rsidR="00DE4E92" w:rsidRPr="00F278FC" w:rsidRDefault="00DE4E92" w:rsidP="00E84004">
      <w:pPr>
        <w:pStyle w:val="Style10ptLinespacingAtleast14pt"/>
        <w:numPr>
          <w:ilvl w:val="0"/>
          <w:numId w:val="29"/>
        </w:numPr>
        <w:tabs>
          <w:tab w:val="left" w:pos="142"/>
        </w:tabs>
        <w:ind w:left="-567" w:right="-312" w:firstLine="0"/>
        <w:rPr>
          <w:rFonts w:cs="Arial"/>
          <w:sz w:val="22"/>
          <w:szCs w:val="22"/>
        </w:rPr>
      </w:pPr>
      <w:r w:rsidRPr="00F278FC">
        <w:rPr>
          <w:rFonts w:cs="Arial"/>
          <w:sz w:val="22"/>
          <w:szCs w:val="22"/>
        </w:rPr>
        <w:t xml:space="preserve">the quality of the explanation given to describe and explain </w:t>
      </w:r>
      <w:r w:rsidR="005833EB">
        <w:rPr>
          <w:rFonts w:cs="Arial"/>
          <w:sz w:val="22"/>
          <w:szCs w:val="22"/>
        </w:rPr>
        <w:t>charge</w:t>
      </w:r>
      <w:r w:rsidRPr="00F278FC">
        <w:rPr>
          <w:rFonts w:cs="Arial"/>
          <w:sz w:val="22"/>
          <w:szCs w:val="22"/>
        </w:rPr>
        <w:t xml:space="preserve"> changes;</w:t>
      </w:r>
    </w:p>
    <w:p w:rsidR="00DE4E92" w:rsidRPr="00F278FC" w:rsidRDefault="00DE4E92" w:rsidP="00E84004">
      <w:pPr>
        <w:pStyle w:val="Style10ptLinespacingAtleast14pt"/>
        <w:numPr>
          <w:ilvl w:val="0"/>
          <w:numId w:val="29"/>
        </w:numPr>
        <w:tabs>
          <w:tab w:val="left" w:pos="142"/>
        </w:tabs>
        <w:ind w:left="-567" w:right="-312" w:firstLine="0"/>
        <w:rPr>
          <w:rFonts w:cs="Arial"/>
          <w:sz w:val="22"/>
          <w:szCs w:val="22"/>
        </w:rPr>
      </w:pPr>
      <w:r w:rsidRPr="00F278FC">
        <w:rPr>
          <w:rFonts w:cs="Arial"/>
          <w:sz w:val="22"/>
          <w:szCs w:val="22"/>
        </w:rPr>
        <w:t>information that is not useful and could be omitted; and</w:t>
      </w:r>
    </w:p>
    <w:p w:rsidR="00DE4E92" w:rsidRPr="00F278FC" w:rsidRDefault="00DE4E92" w:rsidP="00E84004">
      <w:pPr>
        <w:pStyle w:val="Style10ptLinespacingAtleast14pt"/>
        <w:numPr>
          <w:ilvl w:val="0"/>
          <w:numId w:val="29"/>
        </w:numPr>
        <w:tabs>
          <w:tab w:val="left" w:pos="142"/>
        </w:tabs>
        <w:ind w:left="-567" w:right="-312" w:firstLine="0"/>
        <w:rPr>
          <w:rFonts w:cs="Arial"/>
          <w:sz w:val="22"/>
          <w:szCs w:val="22"/>
        </w:rPr>
      </w:pPr>
      <w:r w:rsidRPr="00F278FC">
        <w:rPr>
          <w:rFonts w:cs="Arial"/>
          <w:sz w:val="22"/>
          <w:szCs w:val="22"/>
        </w:rPr>
        <w:t>information that is missing that could be added.</w:t>
      </w:r>
    </w:p>
    <w:p w:rsidR="00DE4E92" w:rsidRPr="00F278FC" w:rsidRDefault="00DE4E92" w:rsidP="00AF199F">
      <w:pPr>
        <w:pStyle w:val="Style10ptLinespacingAtleast14pt"/>
        <w:numPr>
          <w:ilvl w:val="0"/>
          <w:numId w:val="29"/>
        </w:numPr>
        <w:tabs>
          <w:tab w:val="left" w:pos="142"/>
        </w:tabs>
        <w:spacing w:before="240"/>
        <w:ind w:left="-567" w:right="-312" w:firstLine="0"/>
        <w:rPr>
          <w:rFonts w:cs="Arial"/>
          <w:sz w:val="22"/>
          <w:szCs w:val="22"/>
        </w:rPr>
      </w:pPr>
      <w:r w:rsidRPr="00F278FC">
        <w:rPr>
          <w:rFonts w:cs="Arial"/>
          <w:sz w:val="22"/>
          <w:szCs w:val="22"/>
        </w:rPr>
        <w:t>These should be sent to:</w:t>
      </w:r>
    </w:p>
    <w:p w:rsidR="00DE4E92" w:rsidRPr="00F278FC" w:rsidRDefault="00DE4E92" w:rsidP="00AF199F">
      <w:pPr>
        <w:tabs>
          <w:tab w:val="left" w:pos="142"/>
        </w:tabs>
        <w:spacing w:before="240" w:line="280" w:lineRule="atLeast"/>
        <w:ind w:left="-567" w:right="-312"/>
        <w:jc w:val="left"/>
        <w:rPr>
          <w:sz w:val="22"/>
          <w:szCs w:val="22"/>
        </w:rPr>
      </w:pPr>
      <w:r w:rsidRPr="00F278FC">
        <w:rPr>
          <w:sz w:val="22"/>
          <w:szCs w:val="22"/>
        </w:rPr>
        <w:t>Karin Elmhirst</w:t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  <w:t>Dave Bayliss</w:t>
      </w:r>
    </w:p>
    <w:p w:rsidR="00DE4E92" w:rsidRPr="00F278FC" w:rsidRDefault="00DE4E92" w:rsidP="00AA54A3">
      <w:pPr>
        <w:tabs>
          <w:tab w:val="left" w:pos="142"/>
        </w:tabs>
        <w:spacing w:line="280" w:lineRule="atLeast"/>
        <w:ind w:left="-567" w:right="-312"/>
        <w:jc w:val="left"/>
        <w:rPr>
          <w:sz w:val="22"/>
          <w:szCs w:val="22"/>
        </w:rPr>
      </w:pPr>
      <w:r w:rsidRPr="00F278FC">
        <w:rPr>
          <w:sz w:val="22"/>
          <w:szCs w:val="22"/>
        </w:rPr>
        <w:t>National</w:t>
      </w:r>
      <w:r w:rsidR="00842628">
        <w:rPr>
          <w:sz w:val="22"/>
          <w:szCs w:val="22"/>
        </w:rPr>
        <w:t xml:space="preserve"> </w:t>
      </w:r>
      <w:r w:rsidRPr="00F278FC">
        <w:rPr>
          <w:sz w:val="22"/>
          <w:szCs w:val="22"/>
        </w:rPr>
        <w:t>Grid</w:t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  <w:t xml:space="preserve">National Grid </w:t>
      </w:r>
      <w:r w:rsidRPr="00F278FC">
        <w:rPr>
          <w:sz w:val="22"/>
          <w:szCs w:val="22"/>
        </w:rPr>
        <w:br/>
        <w:t>Warwick</w:t>
      </w:r>
      <w:r w:rsidR="00842628">
        <w:rPr>
          <w:sz w:val="22"/>
          <w:szCs w:val="22"/>
        </w:rPr>
        <w:t xml:space="preserve"> </w:t>
      </w:r>
      <w:r w:rsidRPr="00F278FC">
        <w:rPr>
          <w:sz w:val="22"/>
          <w:szCs w:val="22"/>
        </w:rPr>
        <w:t>Technology</w:t>
      </w:r>
      <w:r w:rsidR="00842628">
        <w:rPr>
          <w:sz w:val="22"/>
          <w:szCs w:val="22"/>
        </w:rPr>
        <w:t xml:space="preserve"> </w:t>
      </w:r>
      <w:r w:rsidRPr="00F278FC">
        <w:rPr>
          <w:sz w:val="22"/>
          <w:szCs w:val="22"/>
        </w:rPr>
        <w:t>Park</w:t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  <w:t>Warwick Technology Park</w:t>
      </w:r>
      <w:r w:rsidRPr="00F278FC">
        <w:rPr>
          <w:sz w:val="22"/>
          <w:szCs w:val="22"/>
        </w:rPr>
        <w:br/>
        <w:t>Warwick</w:t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  <w:t>Warwick</w:t>
      </w:r>
      <w:r w:rsidRPr="00F278FC">
        <w:rPr>
          <w:sz w:val="22"/>
          <w:szCs w:val="22"/>
        </w:rPr>
        <w:br/>
        <w:t>CV34 6DA</w:t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</w:r>
      <w:r w:rsidR="002E11B5">
        <w:rPr>
          <w:sz w:val="22"/>
          <w:szCs w:val="22"/>
        </w:rPr>
        <w:tab/>
        <w:t>CV34 6DA</w:t>
      </w:r>
    </w:p>
    <w:p w:rsidR="00DE4E92" w:rsidRPr="00F278FC" w:rsidRDefault="00DE4E92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DE4E92" w:rsidRPr="00D33BBE" w:rsidRDefault="00DE4E92" w:rsidP="00E84004">
      <w:pPr>
        <w:tabs>
          <w:tab w:val="left" w:pos="142"/>
        </w:tabs>
        <w:spacing w:line="280" w:lineRule="atLeast"/>
        <w:ind w:left="-567" w:right="-312"/>
        <w:rPr>
          <w:color w:val="4F81BD"/>
          <w:sz w:val="22"/>
          <w:szCs w:val="22"/>
        </w:rPr>
      </w:pPr>
      <w:r w:rsidRPr="00F278FC">
        <w:rPr>
          <w:sz w:val="22"/>
          <w:szCs w:val="22"/>
        </w:rPr>
        <w:t xml:space="preserve">or email to </w:t>
      </w:r>
      <w:hyperlink r:id="rId11" w:history="1">
        <w:r w:rsidRPr="00AF199F">
          <w:rPr>
            <w:color w:val="4F81BD"/>
            <w:sz w:val="22"/>
            <w:szCs w:val="22"/>
          </w:rPr>
          <w:t>Karin.elmhirst@nationalgrid.com</w:t>
        </w:r>
      </w:hyperlink>
      <w:r w:rsidR="002E11B5">
        <w:rPr>
          <w:color w:val="4F81BD"/>
          <w:sz w:val="22"/>
          <w:szCs w:val="22"/>
        </w:rPr>
        <w:tab/>
      </w:r>
      <w:r w:rsidR="002E11B5">
        <w:rPr>
          <w:color w:val="4F81BD"/>
          <w:sz w:val="22"/>
          <w:szCs w:val="22"/>
        </w:rPr>
        <w:tab/>
        <w:t>dave.bayliss@nationalgrid.com</w:t>
      </w:r>
    </w:p>
    <w:p w:rsidR="005833EB" w:rsidRPr="00D33BBE" w:rsidRDefault="005833EB" w:rsidP="00E84004">
      <w:pPr>
        <w:tabs>
          <w:tab w:val="left" w:pos="142"/>
        </w:tabs>
        <w:spacing w:line="280" w:lineRule="atLeast"/>
        <w:ind w:left="-567" w:right="-312"/>
        <w:rPr>
          <w:color w:val="4F81BD"/>
          <w:sz w:val="22"/>
          <w:szCs w:val="22"/>
        </w:rPr>
      </w:pPr>
    </w:p>
    <w:p w:rsidR="00DE4E92" w:rsidRPr="00F278FC" w:rsidRDefault="00DE4E92" w:rsidP="00E84004">
      <w:pPr>
        <w:tabs>
          <w:tab w:val="left" w:pos="142"/>
        </w:tabs>
        <w:spacing w:line="280" w:lineRule="atLeast"/>
        <w:ind w:left="-567" w:right="-312"/>
        <w:rPr>
          <w:sz w:val="22"/>
          <w:szCs w:val="22"/>
        </w:rPr>
      </w:pPr>
    </w:p>
    <w:p w:rsidR="00D52A5C" w:rsidRPr="00AF199F" w:rsidRDefault="00F46C85" w:rsidP="00AF199F">
      <w:pPr>
        <w:pStyle w:val="Heading2"/>
        <w:pBdr>
          <w:top w:val="single" w:sz="4" w:space="5" w:color="8064A2"/>
          <w:bottom w:val="single" w:sz="4" w:space="15" w:color="8064A2"/>
        </w:pBdr>
        <w:tabs>
          <w:tab w:val="left" w:pos="142"/>
        </w:tabs>
        <w:ind w:left="-567" w:right="-312"/>
        <w:rPr>
          <w:i w:val="0"/>
          <w:color w:val="8064A2"/>
        </w:rPr>
      </w:pPr>
      <w:r w:rsidRPr="00F278FC">
        <w:br w:type="page"/>
      </w:r>
      <w:r w:rsidR="00DC51E1" w:rsidRPr="00AF199F">
        <w:rPr>
          <w:i w:val="0"/>
          <w:color w:val="8064A2"/>
        </w:rPr>
        <w:lastRenderedPageBreak/>
        <w:t xml:space="preserve">Part A: </w:t>
      </w:r>
      <w:proofErr w:type="gramStart"/>
      <w:r w:rsidR="00DC51E1" w:rsidRPr="00AF199F">
        <w:rPr>
          <w:i w:val="0"/>
          <w:color w:val="8064A2"/>
        </w:rPr>
        <w:t>SO</w:t>
      </w:r>
      <w:proofErr w:type="gramEnd"/>
      <w:r w:rsidR="00DC51E1" w:rsidRPr="00AF199F">
        <w:rPr>
          <w:i w:val="0"/>
          <w:color w:val="8064A2"/>
        </w:rPr>
        <w:t xml:space="preserve"> Commodity </w:t>
      </w:r>
      <w:r w:rsidR="000214BE" w:rsidRPr="00D33BBE">
        <w:rPr>
          <w:i w:val="0"/>
          <w:color w:val="8064A2"/>
        </w:rPr>
        <w:t>charge</w:t>
      </w:r>
    </w:p>
    <w:p w:rsidR="00D52A5C" w:rsidRDefault="00D52A5C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3B4E78" w:rsidRDefault="003B4E78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The SO Commodity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 xml:space="preserve"> recovers the difference between</w:t>
      </w:r>
      <w:r w:rsidR="009B77A6">
        <w:rPr>
          <w:sz w:val="22"/>
          <w:szCs w:val="22"/>
        </w:rPr>
        <w:t xml:space="preserve"> the SO</w:t>
      </w:r>
      <w:r>
        <w:rPr>
          <w:sz w:val="22"/>
          <w:szCs w:val="22"/>
        </w:rPr>
        <w:t xml:space="preserve"> allowed revenue and revenues received from other </w:t>
      </w:r>
      <w:r w:rsidR="009B77A6">
        <w:rPr>
          <w:sz w:val="22"/>
          <w:szCs w:val="22"/>
        </w:rPr>
        <w:t xml:space="preserve">SO </w:t>
      </w:r>
      <w:r w:rsidR="005833EB">
        <w:rPr>
          <w:sz w:val="22"/>
          <w:szCs w:val="22"/>
        </w:rPr>
        <w:t>charge</w:t>
      </w:r>
      <w:r>
        <w:rPr>
          <w:sz w:val="22"/>
          <w:szCs w:val="22"/>
        </w:rPr>
        <w:t>s.</w:t>
      </w:r>
    </w:p>
    <w:p w:rsidR="003B4E78" w:rsidRDefault="003B4E78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D52A5C" w:rsidRDefault="00D52A5C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To derive the SO </w:t>
      </w:r>
      <w:proofErr w:type="gramStart"/>
      <w:r>
        <w:rPr>
          <w:sz w:val="22"/>
          <w:szCs w:val="22"/>
        </w:rPr>
        <w:t>Commodity</w:t>
      </w:r>
      <w:proofErr w:type="gramEnd"/>
      <w:r>
        <w:rPr>
          <w:sz w:val="22"/>
          <w:szCs w:val="22"/>
        </w:rPr>
        <w:t xml:space="preserve">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 xml:space="preserve"> a number of high-level steps are required:</w:t>
      </w:r>
    </w:p>
    <w:p w:rsidR="00D52A5C" w:rsidRDefault="00D52A5C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D52A5C" w:rsidRPr="00AF199F" w:rsidRDefault="00D52A5C" w:rsidP="00AF199F">
      <w:pPr>
        <w:pBdr>
          <w:top w:val="single" w:sz="4" w:space="4" w:color="B2A1C7"/>
          <w:left w:val="single" w:sz="4" w:space="4" w:color="B2A1C7"/>
          <w:bottom w:val="single" w:sz="4" w:space="6" w:color="B2A1C7"/>
          <w:right w:val="single" w:sz="4" w:space="4" w:color="B2A1C7"/>
        </w:pBdr>
        <w:shd w:val="clear" w:color="auto" w:fill="B2A1C7"/>
        <w:tabs>
          <w:tab w:val="left" w:pos="142"/>
          <w:tab w:val="left" w:pos="1701"/>
        </w:tabs>
        <w:spacing w:after="120"/>
        <w:ind w:left="-567" w:right="-312"/>
        <w:rPr>
          <w:color w:val="FFFFFF"/>
          <w:sz w:val="22"/>
          <w:szCs w:val="22"/>
        </w:rPr>
      </w:pPr>
      <w:r w:rsidRPr="00AF199F">
        <w:rPr>
          <w:b/>
          <w:color w:val="FFFFFF"/>
          <w:sz w:val="22"/>
          <w:szCs w:val="22"/>
        </w:rPr>
        <w:t>Step 1:</w:t>
      </w:r>
      <w:r w:rsidR="00942E4A" w:rsidRPr="00AF199F">
        <w:rPr>
          <w:color w:val="FFFFFF"/>
          <w:sz w:val="22"/>
          <w:szCs w:val="22"/>
        </w:rPr>
        <w:tab/>
      </w:r>
      <w:r w:rsidRPr="00AF199F">
        <w:rPr>
          <w:color w:val="FFFFFF"/>
          <w:sz w:val="22"/>
          <w:szCs w:val="22"/>
        </w:rPr>
        <w:t xml:space="preserve">Determine </w:t>
      </w:r>
      <w:r w:rsidR="003B4E78" w:rsidRPr="00AF199F">
        <w:rPr>
          <w:color w:val="FFFFFF"/>
          <w:sz w:val="22"/>
          <w:szCs w:val="22"/>
        </w:rPr>
        <w:t xml:space="preserve">the </w:t>
      </w:r>
      <w:r w:rsidRPr="00AF199F">
        <w:rPr>
          <w:color w:val="FFFFFF"/>
          <w:sz w:val="22"/>
          <w:szCs w:val="22"/>
        </w:rPr>
        <w:t xml:space="preserve">SO </w:t>
      </w:r>
      <w:r w:rsidR="00F46C85" w:rsidRPr="00AF199F">
        <w:rPr>
          <w:color w:val="FFFFFF"/>
          <w:sz w:val="22"/>
          <w:szCs w:val="22"/>
        </w:rPr>
        <w:t>a</w:t>
      </w:r>
      <w:r w:rsidRPr="00AF199F">
        <w:rPr>
          <w:color w:val="FFFFFF"/>
          <w:sz w:val="22"/>
          <w:szCs w:val="22"/>
        </w:rPr>
        <w:t xml:space="preserve">llowed </w:t>
      </w:r>
      <w:r w:rsidR="00F46C85" w:rsidRPr="00AF199F">
        <w:rPr>
          <w:color w:val="FFFFFF"/>
          <w:sz w:val="22"/>
          <w:szCs w:val="22"/>
        </w:rPr>
        <w:t>r</w:t>
      </w:r>
      <w:r w:rsidRPr="00AF199F">
        <w:rPr>
          <w:color w:val="FFFFFF"/>
          <w:sz w:val="22"/>
          <w:szCs w:val="22"/>
        </w:rPr>
        <w:t>evenue</w:t>
      </w:r>
    </w:p>
    <w:p w:rsidR="00D52A5C" w:rsidRPr="00AF199F" w:rsidRDefault="00D52A5C" w:rsidP="00AF199F">
      <w:pPr>
        <w:pBdr>
          <w:top w:val="single" w:sz="4" w:space="4" w:color="B2A1C7"/>
          <w:left w:val="single" w:sz="4" w:space="4" w:color="B2A1C7"/>
          <w:bottom w:val="single" w:sz="4" w:space="6" w:color="B2A1C7"/>
          <w:right w:val="single" w:sz="4" w:space="4" w:color="B2A1C7"/>
        </w:pBdr>
        <w:shd w:val="clear" w:color="auto" w:fill="B2A1C7"/>
        <w:tabs>
          <w:tab w:val="left" w:pos="142"/>
          <w:tab w:val="left" w:pos="1701"/>
        </w:tabs>
        <w:spacing w:after="120"/>
        <w:ind w:left="1701" w:right="-312" w:hanging="2268"/>
        <w:rPr>
          <w:color w:val="FFFFFF"/>
          <w:sz w:val="22"/>
          <w:szCs w:val="22"/>
        </w:rPr>
      </w:pPr>
      <w:r w:rsidRPr="00AF199F">
        <w:rPr>
          <w:b/>
          <w:color w:val="FFFFFF"/>
          <w:sz w:val="22"/>
          <w:szCs w:val="22"/>
        </w:rPr>
        <w:t>Step 2:</w:t>
      </w:r>
      <w:r w:rsidR="00942E4A" w:rsidRPr="00AF199F">
        <w:rPr>
          <w:color w:val="FFFFFF"/>
          <w:sz w:val="22"/>
          <w:szCs w:val="22"/>
        </w:rPr>
        <w:tab/>
      </w:r>
      <w:r w:rsidRPr="00AF199F">
        <w:rPr>
          <w:color w:val="FFFFFF"/>
          <w:sz w:val="22"/>
          <w:szCs w:val="22"/>
        </w:rPr>
        <w:t xml:space="preserve">Determine the </w:t>
      </w:r>
      <w:r w:rsidR="003B4E78" w:rsidRPr="00AF199F">
        <w:rPr>
          <w:color w:val="FFFFFF"/>
          <w:sz w:val="22"/>
          <w:szCs w:val="22"/>
        </w:rPr>
        <w:t>actual</w:t>
      </w:r>
      <w:r w:rsidRPr="00AF199F">
        <w:rPr>
          <w:color w:val="FFFFFF"/>
          <w:sz w:val="22"/>
          <w:szCs w:val="22"/>
        </w:rPr>
        <w:t xml:space="preserve"> revenue</w:t>
      </w:r>
      <w:r w:rsidR="003B4E78" w:rsidRPr="00AF199F">
        <w:rPr>
          <w:color w:val="FFFFFF"/>
          <w:sz w:val="22"/>
          <w:szCs w:val="22"/>
        </w:rPr>
        <w:t xml:space="preserve"> to be recovered from </w:t>
      </w:r>
      <w:r w:rsidRPr="00AF199F">
        <w:rPr>
          <w:color w:val="FFFFFF"/>
          <w:sz w:val="22"/>
          <w:szCs w:val="22"/>
        </w:rPr>
        <w:t xml:space="preserve">the SO Commodity </w:t>
      </w:r>
      <w:r w:rsidR="000214BE" w:rsidRPr="00D33BBE">
        <w:rPr>
          <w:color w:val="FFFFFF"/>
          <w:sz w:val="22"/>
          <w:szCs w:val="22"/>
        </w:rPr>
        <w:t>charge</w:t>
      </w:r>
    </w:p>
    <w:p w:rsidR="00D52A5C" w:rsidRPr="00AF199F" w:rsidRDefault="00D52A5C" w:rsidP="00AF199F">
      <w:pPr>
        <w:pBdr>
          <w:top w:val="single" w:sz="4" w:space="4" w:color="B2A1C7"/>
          <w:left w:val="single" w:sz="4" w:space="4" w:color="B2A1C7"/>
          <w:bottom w:val="single" w:sz="4" w:space="6" w:color="B2A1C7"/>
          <w:right w:val="single" w:sz="4" w:space="4" w:color="B2A1C7"/>
        </w:pBdr>
        <w:shd w:val="clear" w:color="auto" w:fill="B2A1C7"/>
        <w:tabs>
          <w:tab w:val="left" w:pos="142"/>
          <w:tab w:val="left" w:pos="1701"/>
        </w:tabs>
        <w:spacing w:after="120"/>
        <w:ind w:left="-567" w:right="-312"/>
        <w:rPr>
          <w:color w:val="FFFFFF"/>
          <w:sz w:val="22"/>
          <w:szCs w:val="22"/>
        </w:rPr>
      </w:pPr>
      <w:r w:rsidRPr="00AF199F">
        <w:rPr>
          <w:b/>
          <w:color w:val="FFFFFF"/>
          <w:sz w:val="22"/>
          <w:szCs w:val="22"/>
        </w:rPr>
        <w:t>Step 3:</w:t>
      </w:r>
      <w:r w:rsidR="00942E4A" w:rsidRPr="00AF199F">
        <w:rPr>
          <w:color w:val="FFFFFF"/>
          <w:sz w:val="22"/>
          <w:szCs w:val="22"/>
        </w:rPr>
        <w:tab/>
      </w:r>
      <w:r w:rsidRPr="00AF199F">
        <w:rPr>
          <w:color w:val="FFFFFF"/>
          <w:sz w:val="22"/>
          <w:szCs w:val="22"/>
        </w:rPr>
        <w:t xml:space="preserve">Determine the volumes that attract the SO Commodity </w:t>
      </w:r>
      <w:r w:rsidR="000214BE" w:rsidRPr="00D33BBE">
        <w:rPr>
          <w:color w:val="FFFFFF"/>
          <w:sz w:val="22"/>
          <w:szCs w:val="22"/>
        </w:rPr>
        <w:t>charge</w:t>
      </w:r>
    </w:p>
    <w:p w:rsidR="00131537" w:rsidRPr="00AF199F" w:rsidRDefault="00131537" w:rsidP="00AF199F">
      <w:pPr>
        <w:pBdr>
          <w:top w:val="single" w:sz="4" w:space="4" w:color="B2A1C7"/>
          <w:left w:val="single" w:sz="4" w:space="4" w:color="B2A1C7"/>
          <w:bottom w:val="single" w:sz="4" w:space="6" w:color="B2A1C7"/>
          <w:right w:val="single" w:sz="4" w:space="4" w:color="B2A1C7"/>
        </w:pBdr>
        <w:shd w:val="clear" w:color="auto" w:fill="B2A1C7"/>
        <w:tabs>
          <w:tab w:val="left" w:pos="142"/>
          <w:tab w:val="left" w:pos="1701"/>
        </w:tabs>
        <w:ind w:left="-567" w:right="-312"/>
        <w:rPr>
          <w:color w:val="FFFFFF"/>
          <w:sz w:val="22"/>
          <w:szCs w:val="22"/>
        </w:rPr>
      </w:pPr>
      <w:r w:rsidRPr="00AF199F">
        <w:rPr>
          <w:b/>
          <w:color w:val="FFFFFF"/>
          <w:sz w:val="22"/>
          <w:szCs w:val="22"/>
        </w:rPr>
        <w:t>Step 4:</w:t>
      </w:r>
      <w:r w:rsidRPr="00AF199F">
        <w:rPr>
          <w:color w:val="FFFFFF"/>
          <w:sz w:val="22"/>
          <w:szCs w:val="22"/>
        </w:rPr>
        <w:tab/>
        <w:t xml:space="preserve">Calculate the SO Commodity </w:t>
      </w:r>
      <w:r w:rsidR="000214BE" w:rsidRPr="00D33BBE">
        <w:rPr>
          <w:color w:val="FFFFFF"/>
          <w:sz w:val="22"/>
          <w:szCs w:val="22"/>
        </w:rPr>
        <w:t>charge</w:t>
      </w:r>
      <w:r w:rsidR="00B049BF" w:rsidRPr="00AF199F">
        <w:rPr>
          <w:color w:val="FFFFFF"/>
          <w:sz w:val="22"/>
          <w:szCs w:val="22"/>
        </w:rPr>
        <w:t xml:space="preserve"> rate</w:t>
      </w:r>
    </w:p>
    <w:p w:rsidR="003B4E78" w:rsidRDefault="003B4E78" w:rsidP="00E84004">
      <w:pPr>
        <w:tabs>
          <w:tab w:val="left" w:pos="142"/>
          <w:tab w:val="left" w:pos="1620"/>
        </w:tabs>
        <w:ind w:left="-567" w:right="-312"/>
        <w:rPr>
          <w:sz w:val="22"/>
          <w:szCs w:val="22"/>
        </w:rPr>
      </w:pPr>
    </w:p>
    <w:p w:rsidR="005833EB" w:rsidRDefault="005833EB" w:rsidP="00E84004">
      <w:pPr>
        <w:tabs>
          <w:tab w:val="left" w:pos="142"/>
          <w:tab w:val="left" w:pos="1620"/>
        </w:tabs>
        <w:ind w:left="-567" w:right="-312"/>
        <w:rPr>
          <w:sz w:val="22"/>
          <w:szCs w:val="22"/>
        </w:rPr>
      </w:pPr>
    </w:p>
    <w:p w:rsidR="00CE1E67" w:rsidRPr="00AF199F" w:rsidRDefault="003B4E78" w:rsidP="00AF199F">
      <w:pPr>
        <w:pStyle w:val="Heading3"/>
        <w:pBdr>
          <w:top w:val="single" w:sz="4" w:space="3" w:color="8064A2"/>
          <w:bottom w:val="single" w:sz="4" w:space="10" w:color="8064A2"/>
        </w:pBdr>
        <w:tabs>
          <w:tab w:val="left" w:pos="142"/>
        </w:tabs>
        <w:ind w:left="-567" w:right="-312"/>
        <w:rPr>
          <w:color w:val="8064A2"/>
        </w:rPr>
      </w:pPr>
      <w:r w:rsidRPr="00AF199F">
        <w:rPr>
          <w:color w:val="8064A2"/>
        </w:rPr>
        <w:t xml:space="preserve">Step 1: </w:t>
      </w:r>
      <w:r w:rsidR="00D52A5C" w:rsidRPr="00AF199F">
        <w:rPr>
          <w:color w:val="8064A2"/>
        </w:rPr>
        <w:t xml:space="preserve">Determining the </w:t>
      </w:r>
      <w:r w:rsidR="00CE1E67" w:rsidRPr="00AF199F">
        <w:rPr>
          <w:color w:val="8064A2"/>
        </w:rPr>
        <w:t xml:space="preserve">SO </w:t>
      </w:r>
      <w:r w:rsidR="00F46C85" w:rsidRPr="00AF199F">
        <w:rPr>
          <w:color w:val="8064A2"/>
        </w:rPr>
        <w:t>a</w:t>
      </w:r>
      <w:r w:rsidR="00CE1E67" w:rsidRPr="00AF199F">
        <w:rPr>
          <w:color w:val="8064A2"/>
        </w:rPr>
        <w:t xml:space="preserve">llowed </w:t>
      </w:r>
      <w:r w:rsidR="00F46C85" w:rsidRPr="00AF199F">
        <w:rPr>
          <w:color w:val="8064A2"/>
        </w:rPr>
        <w:t>r</w:t>
      </w:r>
      <w:r w:rsidR="00CE1E67" w:rsidRPr="00AF199F">
        <w:rPr>
          <w:color w:val="8064A2"/>
        </w:rPr>
        <w:t>evenue</w:t>
      </w:r>
      <w:r w:rsidR="0021749A" w:rsidRPr="00AF199F">
        <w:rPr>
          <w:color w:val="8064A2"/>
        </w:rPr>
        <w:t xml:space="preserve"> </w:t>
      </w:r>
    </w:p>
    <w:p w:rsidR="00CE1E67" w:rsidRPr="008574BC" w:rsidRDefault="00CE1E67" w:rsidP="00E84004">
      <w:pPr>
        <w:tabs>
          <w:tab w:val="left" w:pos="142"/>
        </w:tabs>
        <w:ind w:left="-567" w:right="-312"/>
        <w:rPr>
          <w:b/>
          <w:sz w:val="22"/>
          <w:szCs w:val="22"/>
        </w:rPr>
      </w:pPr>
    </w:p>
    <w:p w:rsidR="00CE1E67" w:rsidRPr="008574BC" w:rsidRDefault="00CE1E67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8574BC">
        <w:rPr>
          <w:sz w:val="22"/>
          <w:szCs w:val="22"/>
        </w:rPr>
        <w:t xml:space="preserve">The maximum NTS </w:t>
      </w:r>
      <w:r w:rsidR="0021749A">
        <w:rPr>
          <w:sz w:val="22"/>
          <w:szCs w:val="22"/>
        </w:rPr>
        <w:t>SO</w:t>
      </w:r>
      <w:r w:rsidR="0021749A" w:rsidRPr="008574BC">
        <w:rPr>
          <w:sz w:val="22"/>
          <w:szCs w:val="22"/>
        </w:rPr>
        <w:t xml:space="preserve"> </w:t>
      </w:r>
      <w:r w:rsidR="00F46C85">
        <w:rPr>
          <w:sz w:val="22"/>
          <w:szCs w:val="22"/>
        </w:rPr>
        <w:t xml:space="preserve">allowed </w:t>
      </w:r>
      <w:r w:rsidRPr="008574BC">
        <w:rPr>
          <w:sz w:val="22"/>
          <w:szCs w:val="22"/>
        </w:rPr>
        <w:t>revenue in respect of formula year t (</w:t>
      </w:r>
      <w:r w:rsidR="00B064B0" w:rsidRPr="008574BC">
        <w:rPr>
          <w:sz w:val="22"/>
          <w:szCs w:val="22"/>
        </w:rPr>
        <w:t>SOMR</w:t>
      </w:r>
      <w:r w:rsidR="00B064B0" w:rsidRPr="00F45979">
        <w:rPr>
          <w:sz w:val="22"/>
          <w:szCs w:val="22"/>
          <w:vertAlign w:val="subscript"/>
        </w:rPr>
        <w:t>t</w:t>
      </w:r>
      <w:r w:rsidRPr="008574BC">
        <w:rPr>
          <w:sz w:val="22"/>
          <w:szCs w:val="22"/>
        </w:rPr>
        <w:t xml:space="preserve">) is </w:t>
      </w:r>
      <w:r w:rsidR="00942E4A">
        <w:rPr>
          <w:sz w:val="22"/>
          <w:szCs w:val="22"/>
        </w:rPr>
        <w:t xml:space="preserve">defined in National Grid’s </w:t>
      </w:r>
      <w:r w:rsidR="00B049BF">
        <w:rPr>
          <w:sz w:val="22"/>
          <w:szCs w:val="22"/>
        </w:rPr>
        <w:t xml:space="preserve">Gas </w:t>
      </w:r>
      <w:r w:rsidR="00942E4A">
        <w:rPr>
          <w:sz w:val="22"/>
          <w:szCs w:val="22"/>
        </w:rPr>
        <w:t>Transport</w:t>
      </w:r>
      <w:r w:rsidR="00B064B0">
        <w:rPr>
          <w:sz w:val="22"/>
          <w:szCs w:val="22"/>
        </w:rPr>
        <w:t>er</w:t>
      </w:r>
      <w:r w:rsidR="00942E4A">
        <w:rPr>
          <w:sz w:val="22"/>
          <w:szCs w:val="22"/>
        </w:rPr>
        <w:t xml:space="preserve"> Licence</w:t>
      </w:r>
      <w:r w:rsidR="00B064B0">
        <w:rPr>
          <w:sz w:val="22"/>
          <w:szCs w:val="22"/>
        </w:rPr>
        <w:t xml:space="preserve"> </w:t>
      </w:r>
      <w:r w:rsidR="00F46C85">
        <w:rPr>
          <w:sz w:val="22"/>
          <w:szCs w:val="22"/>
        </w:rPr>
        <w:t>for</w:t>
      </w:r>
      <w:r w:rsidR="00B064B0">
        <w:rPr>
          <w:sz w:val="22"/>
          <w:szCs w:val="22"/>
        </w:rPr>
        <w:t xml:space="preserve"> the NTS (“the Licence”)</w:t>
      </w:r>
      <w:r w:rsidR="00942E4A">
        <w:rPr>
          <w:sz w:val="22"/>
          <w:szCs w:val="22"/>
        </w:rPr>
        <w:t xml:space="preserve">.  It is </w:t>
      </w:r>
      <w:r w:rsidRPr="008574BC">
        <w:rPr>
          <w:sz w:val="22"/>
          <w:szCs w:val="22"/>
        </w:rPr>
        <w:t>calculated using the following formula</w:t>
      </w:r>
      <w:r w:rsidR="00DC51E1" w:rsidRPr="008574BC">
        <w:rPr>
          <w:sz w:val="22"/>
          <w:szCs w:val="22"/>
        </w:rPr>
        <w:t>:</w:t>
      </w:r>
    </w:p>
    <w:p w:rsidR="00CE1E67" w:rsidRPr="008574BC" w:rsidRDefault="00CE1E67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B064B0" w:rsidRDefault="00B064B0" w:rsidP="00AA54A3">
      <w:pPr>
        <w:tabs>
          <w:tab w:val="left" w:pos="284"/>
          <w:tab w:val="left" w:pos="1890"/>
        </w:tabs>
        <w:ind w:left="567" w:right="-312"/>
        <w:rPr>
          <w:sz w:val="22"/>
          <w:szCs w:val="22"/>
        </w:rPr>
      </w:pPr>
      <w:proofErr w:type="gramStart"/>
      <w:r w:rsidRPr="008574BC">
        <w:rPr>
          <w:sz w:val="22"/>
          <w:szCs w:val="22"/>
        </w:rPr>
        <w:t>SOMR</w:t>
      </w:r>
      <w:r w:rsidRPr="00F45979">
        <w:rPr>
          <w:sz w:val="22"/>
          <w:szCs w:val="22"/>
          <w:vertAlign w:val="subscript"/>
        </w:rPr>
        <w:t>t</w:t>
      </w:r>
      <w:r w:rsidRPr="008574BC">
        <w:rPr>
          <w:sz w:val="22"/>
          <w:szCs w:val="22"/>
        </w:rPr>
        <w:t xml:space="preserve">  =</w:t>
      </w:r>
      <w:proofErr w:type="gramEnd"/>
      <w:r w:rsidR="00842628">
        <w:rPr>
          <w:sz w:val="22"/>
          <w:szCs w:val="22"/>
        </w:rPr>
        <w:t xml:space="preserve"> </w:t>
      </w:r>
      <w:r w:rsidRPr="008574BC">
        <w:rPr>
          <w:sz w:val="22"/>
          <w:szCs w:val="22"/>
        </w:rPr>
        <w:t>SO</w:t>
      </w:r>
      <w:r w:rsidR="005B18EA">
        <w:rPr>
          <w:sz w:val="22"/>
          <w:szCs w:val="22"/>
        </w:rPr>
        <w:t>BRt</w:t>
      </w:r>
      <w:r w:rsidRPr="00F45979">
        <w:rPr>
          <w:sz w:val="22"/>
          <w:szCs w:val="22"/>
          <w:vertAlign w:val="subscript"/>
        </w:rPr>
        <w:t>t</w:t>
      </w:r>
      <w:r w:rsidRPr="008574BC">
        <w:rPr>
          <w:sz w:val="22"/>
          <w:szCs w:val="22"/>
        </w:rPr>
        <w:t xml:space="preserve"> + </w:t>
      </w:r>
      <w:r w:rsidR="005B18EA">
        <w:rPr>
          <w:sz w:val="22"/>
          <w:szCs w:val="22"/>
        </w:rPr>
        <w:t>CMt</w:t>
      </w:r>
      <w:r w:rsidRPr="00F45979">
        <w:rPr>
          <w:sz w:val="22"/>
          <w:szCs w:val="22"/>
          <w:vertAlign w:val="subscript"/>
        </w:rPr>
        <w:t>t</w:t>
      </w:r>
      <w:r w:rsidRPr="008574BC">
        <w:rPr>
          <w:sz w:val="22"/>
          <w:szCs w:val="22"/>
        </w:rPr>
        <w:t xml:space="preserve"> + SOOIRC</w:t>
      </w:r>
      <w:r w:rsidRPr="00F45979">
        <w:rPr>
          <w:sz w:val="22"/>
          <w:szCs w:val="22"/>
          <w:vertAlign w:val="subscript"/>
        </w:rPr>
        <w:t>t</w:t>
      </w:r>
      <w:r w:rsidRPr="008574BC">
        <w:rPr>
          <w:sz w:val="22"/>
          <w:szCs w:val="22"/>
        </w:rPr>
        <w:t xml:space="preserve"> + </w:t>
      </w:r>
      <w:r w:rsidR="005B18EA">
        <w:rPr>
          <w:sz w:val="22"/>
          <w:szCs w:val="22"/>
        </w:rPr>
        <w:t>TSS</w:t>
      </w:r>
      <w:r w:rsidRPr="00F45979">
        <w:rPr>
          <w:sz w:val="22"/>
          <w:szCs w:val="22"/>
          <w:vertAlign w:val="subscript"/>
        </w:rPr>
        <w:t>t</w:t>
      </w:r>
      <w:r w:rsidRPr="008574BC">
        <w:rPr>
          <w:sz w:val="22"/>
          <w:szCs w:val="22"/>
        </w:rPr>
        <w:t xml:space="preserve"> + DELINC</w:t>
      </w:r>
      <w:r w:rsidRPr="00F45979">
        <w:rPr>
          <w:sz w:val="22"/>
          <w:szCs w:val="22"/>
          <w:vertAlign w:val="subscript"/>
        </w:rPr>
        <w:t>t</w:t>
      </w:r>
      <w:r w:rsidRPr="008574BC">
        <w:rPr>
          <w:sz w:val="22"/>
          <w:szCs w:val="22"/>
        </w:rPr>
        <w:t xml:space="preserve"> - SOK</w:t>
      </w:r>
      <w:r w:rsidRPr="00F45979">
        <w:rPr>
          <w:sz w:val="22"/>
          <w:szCs w:val="22"/>
          <w:vertAlign w:val="subscript"/>
        </w:rPr>
        <w:t>t</w:t>
      </w:r>
    </w:p>
    <w:p w:rsidR="00942E4A" w:rsidRDefault="00942E4A" w:rsidP="00E84004">
      <w:pPr>
        <w:tabs>
          <w:tab w:val="left" w:pos="142"/>
          <w:tab w:val="left" w:pos="1890"/>
        </w:tabs>
        <w:ind w:left="-567" w:right="-312"/>
        <w:jc w:val="left"/>
        <w:rPr>
          <w:sz w:val="22"/>
          <w:szCs w:val="22"/>
        </w:rPr>
      </w:pPr>
    </w:p>
    <w:p w:rsidR="00E656D6" w:rsidRPr="00AF199F" w:rsidRDefault="000C76A3" w:rsidP="00E84004">
      <w:pPr>
        <w:tabs>
          <w:tab w:val="left" w:pos="142"/>
          <w:tab w:val="left" w:pos="1890"/>
        </w:tabs>
        <w:ind w:left="-567" w:right="-312"/>
        <w:rPr>
          <w:color w:val="8064A2"/>
          <w:sz w:val="22"/>
          <w:szCs w:val="22"/>
        </w:rPr>
      </w:pPr>
      <w:r w:rsidRPr="00AF199F">
        <w:rPr>
          <w:b/>
          <w:color w:val="8064A2"/>
          <w:sz w:val="22"/>
          <w:szCs w:val="22"/>
        </w:rPr>
        <w:t>Table 1</w:t>
      </w:r>
      <w:r w:rsidR="00942E4A" w:rsidRPr="00AF199F">
        <w:rPr>
          <w:color w:val="8064A2"/>
          <w:sz w:val="22"/>
          <w:szCs w:val="22"/>
        </w:rPr>
        <w:t xml:space="preserve"> details the </w:t>
      </w:r>
      <w:r w:rsidR="00B064B0" w:rsidRPr="00AF199F">
        <w:rPr>
          <w:color w:val="8064A2"/>
          <w:sz w:val="22"/>
          <w:szCs w:val="22"/>
        </w:rPr>
        <w:t xml:space="preserve">individual </w:t>
      </w:r>
      <w:r w:rsidR="00942E4A" w:rsidRPr="00AF199F">
        <w:rPr>
          <w:color w:val="8064A2"/>
          <w:sz w:val="22"/>
          <w:szCs w:val="22"/>
        </w:rPr>
        <w:t>terms</w:t>
      </w:r>
      <w:r w:rsidR="00B064B0" w:rsidRPr="00AF199F">
        <w:rPr>
          <w:color w:val="8064A2"/>
          <w:sz w:val="22"/>
          <w:szCs w:val="22"/>
        </w:rPr>
        <w:t xml:space="preserve"> contained in the equation above, which have been used to determine the final prices that applied </w:t>
      </w:r>
      <w:r w:rsidR="00F46C85" w:rsidRPr="00AF199F">
        <w:rPr>
          <w:color w:val="8064A2"/>
          <w:sz w:val="22"/>
          <w:szCs w:val="22"/>
        </w:rPr>
        <w:t>during the relevant year</w:t>
      </w:r>
      <w:r w:rsidR="00B064B0" w:rsidRPr="00AF199F">
        <w:rPr>
          <w:color w:val="8064A2"/>
          <w:sz w:val="22"/>
          <w:szCs w:val="22"/>
        </w:rPr>
        <w:t xml:space="preserve">. Note that all the figures quoted within this note relate to </w:t>
      </w:r>
      <w:r w:rsidR="00C017C1" w:rsidRPr="00AF199F">
        <w:rPr>
          <w:color w:val="8064A2"/>
          <w:sz w:val="22"/>
          <w:szCs w:val="22"/>
        </w:rPr>
        <w:t>the</w:t>
      </w:r>
      <w:r w:rsidR="00F46C85" w:rsidRPr="00AF199F">
        <w:rPr>
          <w:color w:val="8064A2"/>
          <w:sz w:val="22"/>
          <w:szCs w:val="22"/>
        </w:rPr>
        <w:t xml:space="preserve"> entire</w:t>
      </w:r>
      <w:r w:rsidR="00B064B0" w:rsidRPr="00AF199F">
        <w:rPr>
          <w:color w:val="8064A2"/>
          <w:sz w:val="22"/>
          <w:szCs w:val="22"/>
        </w:rPr>
        <w:t xml:space="preserve"> formula year</w:t>
      </w:r>
      <w:r w:rsidR="00561C8D">
        <w:rPr>
          <w:color w:val="8064A2"/>
          <w:sz w:val="22"/>
          <w:szCs w:val="22"/>
        </w:rPr>
        <w:t>.</w:t>
      </w:r>
    </w:p>
    <w:p w:rsidR="00DB55CD" w:rsidRDefault="00DB55CD" w:rsidP="00E84004">
      <w:pPr>
        <w:tabs>
          <w:tab w:val="left" w:pos="142"/>
          <w:tab w:val="left" w:pos="1890"/>
        </w:tabs>
        <w:ind w:left="-567" w:right="-312"/>
        <w:rPr>
          <w:sz w:val="22"/>
          <w:szCs w:val="22"/>
        </w:rPr>
      </w:pPr>
    </w:p>
    <w:p w:rsidR="00D52A5C" w:rsidRDefault="00D52A5C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="00131537">
        <w:rPr>
          <w:sz w:val="22"/>
          <w:szCs w:val="22"/>
        </w:rPr>
        <w:t xml:space="preserve">further details of </w:t>
      </w:r>
      <w:r w:rsidR="00942E4A">
        <w:rPr>
          <w:sz w:val="22"/>
          <w:szCs w:val="22"/>
        </w:rPr>
        <w:t xml:space="preserve">the </w:t>
      </w:r>
      <w:r w:rsidRPr="008574BC">
        <w:rPr>
          <w:sz w:val="22"/>
          <w:szCs w:val="22"/>
        </w:rPr>
        <w:t xml:space="preserve">SO </w:t>
      </w:r>
      <w:r w:rsidR="00942E4A">
        <w:rPr>
          <w:sz w:val="22"/>
          <w:szCs w:val="22"/>
        </w:rPr>
        <w:t>allowed r</w:t>
      </w:r>
      <w:r w:rsidRPr="008574BC">
        <w:rPr>
          <w:sz w:val="22"/>
          <w:szCs w:val="22"/>
        </w:rPr>
        <w:t>evenue</w:t>
      </w:r>
      <w:r w:rsidR="00942E4A">
        <w:rPr>
          <w:sz w:val="22"/>
          <w:szCs w:val="22"/>
        </w:rPr>
        <w:t xml:space="preserve">, </w:t>
      </w:r>
      <w:r w:rsidRPr="008574BC">
        <w:rPr>
          <w:sz w:val="22"/>
          <w:szCs w:val="22"/>
        </w:rPr>
        <w:t xml:space="preserve">refer to </w:t>
      </w:r>
      <w:r w:rsidRPr="00C57F65">
        <w:rPr>
          <w:sz w:val="22"/>
          <w:szCs w:val="22"/>
        </w:rPr>
        <w:t xml:space="preserve">Special Condition </w:t>
      </w:r>
      <w:r w:rsidR="00D45026" w:rsidRPr="00C57F65">
        <w:rPr>
          <w:sz w:val="22"/>
          <w:szCs w:val="22"/>
        </w:rPr>
        <w:t>3</w:t>
      </w:r>
      <w:r w:rsidR="006E64A8" w:rsidRPr="00C57F65">
        <w:rPr>
          <w:sz w:val="22"/>
          <w:szCs w:val="22"/>
        </w:rPr>
        <w:t>A</w:t>
      </w:r>
      <w:r w:rsidRPr="00C57F65">
        <w:rPr>
          <w:sz w:val="22"/>
          <w:szCs w:val="22"/>
        </w:rPr>
        <w:t xml:space="preserve"> </w:t>
      </w:r>
      <w:r w:rsidR="00741381" w:rsidRPr="00C57F65">
        <w:rPr>
          <w:sz w:val="22"/>
          <w:szCs w:val="22"/>
        </w:rPr>
        <w:t>“NTS</w:t>
      </w:r>
      <w:r w:rsidR="00741381">
        <w:rPr>
          <w:sz w:val="22"/>
          <w:szCs w:val="22"/>
        </w:rPr>
        <w:t xml:space="preserve"> System Operation activity revenue restriction”</w:t>
      </w:r>
      <w:r w:rsidR="00942E4A">
        <w:rPr>
          <w:sz w:val="22"/>
          <w:szCs w:val="22"/>
        </w:rPr>
        <w:t>.</w:t>
      </w:r>
    </w:p>
    <w:p w:rsidR="00D52A5C" w:rsidRPr="008574BC" w:rsidRDefault="00D52A5C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463EE2" w:rsidRPr="00AF199F" w:rsidRDefault="004E63E3" w:rsidP="009008CC">
      <w:pPr>
        <w:pStyle w:val="Heading4"/>
        <w:tabs>
          <w:tab w:val="left" w:pos="142"/>
        </w:tabs>
        <w:ind w:left="-567" w:right="-312" w:firstLine="0"/>
        <w:rPr>
          <w:color w:val="8064A2"/>
        </w:rPr>
      </w:pPr>
      <w:r w:rsidRPr="00AF199F">
        <w:rPr>
          <w:color w:val="8064A2"/>
        </w:rPr>
        <w:t>T</w:t>
      </w:r>
      <w:r w:rsidR="00463EE2" w:rsidRPr="00AF199F">
        <w:rPr>
          <w:color w:val="8064A2"/>
        </w:rPr>
        <w:t>ypical variations</w:t>
      </w:r>
      <w:r w:rsidR="008574BC" w:rsidRPr="00AF199F">
        <w:rPr>
          <w:color w:val="8064A2"/>
        </w:rPr>
        <w:t xml:space="preserve"> in SOMR</w:t>
      </w:r>
      <w:r w:rsidR="008574BC" w:rsidRPr="00AF199F">
        <w:rPr>
          <w:rFonts w:ascii="Arial Bold" w:hAnsi="Arial Bold"/>
          <w:color w:val="8064A2"/>
          <w:vertAlign w:val="subscript"/>
        </w:rPr>
        <w:t>t</w:t>
      </w:r>
    </w:p>
    <w:p w:rsidR="00463EE2" w:rsidRPr="00AF199F" w:rsidRDefault="00463EE2" w:rsidP="00E84004">
      <w:pPr>
        <w:tabs>
          <w:tab w:val="left" w:pos="142"/>
        </w:tabs>
        <w:ind w:left="-567" w:right="-312"/>
        <w:rPr>
          <w:color w:val="8064A2"/>
          <w:sz w:val="22"/>
          <w:szCs w:val="22"/>
        </w:rPr>
      </w:pPr>
    </w:p>
    <w:p w:rsidR="00942E4A" w:rsidRDefault="00942E4A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The values in </w:t>
      </w:r>
      <w:r w:rsidR="00E46AF8">
        <w:rPr>
          <w:sz w:val="22"/>
          <w:szCs w:val="22"/>
        </w:rPr>
        <w:t>T</w:t>
      </w:r>
      <w:r>
        <w:rPr>
          <w:sz w:val="22"/>
          <w:szCs w:val="22"/>
        </w:rPr>
        <w:t>able</w:t>
      </w:r>
      <w:r w:rsidR="005D7F6E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are subject to uncertainty</w:t>
      </w:r>
      <w:r w:rsidR="00741381">
        <w:rPr>
          <w:sz w:val="22"/>
          <w:szCs w:val="22"/>
        </w:rPr>
        <w:t xml:space="preserve">, particularly those that are </w:t>
      </w:r>
      <w:r w:rsidR="00F46C85">
        <w:rPr>
          <w:sz w:val="22"/>
          <w:szCs w:val="22"/>
        </w:rPr>
        <w:t xml:space="preserve">linked </w:t>
      </w:r>
      <w:r w:rsidR="00741381">
        <w:rPr>
          <w:sz w:val="22"/>
          <w:szCs w:val="22"/>
        </w:rPr>
        <w:t>to externalities such as gas costs</w:t>
      </w:r>
      <w:r>
        <w:rPr>
          <w:sz w:val="22"/>
          <w:szCs w:val="22"/>
        </w:rPr>
        <w:t xml:space="preserve">.  </w:t>
      </w:r>
      <w:r w:rsidR="00741381">
        <w:rPr>
          <w:sz w:val="22"/>
          <w:szCs w:val="22"/>
        </w:rPr>
        <w:t>It is anticipated that s</w:t>
      </w:r>
      <w:r>
        <w:rPr>
          <w:sz w:val="22"/>
          <w:szCs w:val="22"/>
        </w:rPr>
        <w:t>eparate reporting of the SO external incentive performance</w:t>
      </w:r>
      <w:r w:rsidR="005776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will allow shippers to </w:t>
      </w:r>
      <w:r w:rsidR="00741381">
        <w:rPr>
          <w:sz w:val="22"/>
          <w:szCs w:val="22"/>
        </w:rPr>
        <w:t xml:space="preserve">better </w:t>
      </w:r>
      <w:r>
        <w:rPr>
          <w:sz w:val="22"/>
          <w:szCs w:val="22"/>
        </w:rPr>
        <w:t>p</w:t>
      </w:r>
      <w:r w:rsidR="00131537">
        <w:rPr>
          <w:sz w:val="22"/>
          <w:szCs w:val="22"/>
        </w:rPr>
        <w:t>redict future price movements.  However, s</w:t>
      </w:r>
      <w:r>
        <w:rPr>
          <w:sz w:val="22"/>
          <w:szCs w:val="22"/>
        </w:rPr>
        <w:t>hippers may wish to note</w:t>
      </w:r>
      <w:r w:rsidR="006E64A8">
        <w:rPr>
          <w:sz w:val="22"/>
          <w:szCs w:val="22"/>
        </w:rPr>
        <w:t xml:space="preserve"> that the new L</w:t>
      </w:r>
      <w:r w:rsidR="00DE4E92">
        <w:rPr>
          <w:sz w:val="22"/>
          <w:szCs w:val="22"/>
        </w:rPr>
        <w:t>icence makes allowances for many</w:t>
      </w:r>
      <w:r w:rsidR="006E64A8">
        <w:rPr>
          <w:sz w:val="22"/>
          <w:szCs w:val="22"/>
        </w:rPr>
        <w:t xml:space="preserve"> of the cost terms and so it is the variation from the allowance that is added </w:t>
      </w:r>
      <w:r w:rsidR="00D1636D">
        <w:rPr>
          <w:sz w:val="22"/>
          <w:szCs w:val="22"/>
        </w:rPr>
        <w:t>on to the base revenue that makes up the maximum allowed revenue (SOMR</w:t>
      </w:r>
      <w:r w:rsidR="00D1636D" w:rsidRPr="00AA54A3">
        <w:rPr>
          <w:sz w:val="22"/>
          <w:szCs w:val="22"/>
          <w:vertAlign w:val="subscript"/>
        </w:rPr>
        <w:t>t</w:t>
      </w:r>
      <w:r w:rsidR="00D1636D">
        <w:rPr>
          <w:sz w:val="22"/>
          <w:szCs w:val="22"/>
        </w:rPr>
        <w:t>).</w:t>
      </w:r>
    </w:p>
    <w:p w:rsidR="00942E4A" w:rsidRPr="00833D24" w:rsidRDefault="00942E4A" w:rsidP="00E84004">
      <w:pPr>
        <w:tabs>
          <w:tab w:val="left" w:pos="142"/>
        </w:tabs>
        <w:ind w:left="-567" w:right="-312"/>
      </w:pPr>
    </w:p>
    <w:p w:rsidR="00463EE2" w:rsidRPr="00AF199F" w:rsidRDefault="008169EB" w:rsidP="00AF199F">
      <w:pPr>
        <w:pStyle w:val="Heading3"/>
        <w:pBdr>
          <w:top w:val="single" w:sz="4" w:space="3" w:color="8064A2"/>
          <w:bottom w:val="single" w:sz="4" w:space="10" w:color="8064A2"/>
        </w:pBdr>
        <w:tabs>
          <w:tab w:val="left" w:pos="142"/>
        </w:tabs>
        <w:ind w:left="-567" w:right="-312"/>
        <w:rPr>
          <w:color w:val="8064A2"/>
        </w:rPr>
      </w:pPr>
      <w:r w:rsidRPr="00AF199F">
        <w:rPr>
          <w:color w:val="8064A2"/>
        </w:rPr>
        <w:t>Step 2</w:t>
      </w:r>
      <w:r w:rsidR="00B14568" w:rsidRPr="00AF199F">
        <w:rPr>
          <w:color w:val="8064A2"/>
        </w:rPr>
        <w:t>:</w:t>
      </w:r>
      <w:r w:rsidRPr="00AF199F">
        <w:rPr>
          <w:color w:val="8064A2"/>
        </w:rPr>
        <w:t xml:space="preserve"> </w:t>
      </w:r>
      <w:r w:rsidR="00D52A5C" w:rsidRPr="00AF199F">
        <w:rPr>
          <w:color w:val="8064A2"/>
        </w:rPr>
        <w:t xml:space="preserve">Determining the target revenue for </w:t>
      </w:r>
      <w:r w:rsidR="00463EE2" w:rsidRPr="00AF199F">
        <w:rPr>
          <w:color w:val="8064A2"/>
        </w:rPr>
        <w:t xml:space="preserve">the SO Commodity </w:t>
      </w:r>
      <w:r w:rsidR="000214BE" w:rsidRPr="00D33BBE">
        <w:rPr>
          <w:color w:val="8064A2"/>
        </w:rPr>
        <w:t>charge</w:t>
      </w:r>
      <w:r w:rsidR="0021749A" w:rsidRPr="00AF199F">
        <w:rPr>
          <w:color w:val="8064A2"/>
        </w:rPr>
        <w:t xml:space="preserve"> </w:t>
      </w:r>
    </w:p>
    <w:p w:rsidR="00463EE2" w:rsidRPr="008574BC" w:rsidRDefault="00463EE2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0B352F" w:rsidRPr="008574BC" w:rsidRDefault="00834F47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8574BC">
        <w:rPr>
          <w:sz w:val="22"/>
          <w:szCs w:val="22"/>
        </w:rPr>
        <w:t xml:space="preserve">The </w:t>
      </w:r>
      <w:r w:rsidR="00463EE2" w:rsidRPr="008574BC">
        <w:rPr>
          <w:sz w:val="22"/>
          <w:szCs w:val="22"/>
        </w:rPr>
        <w:t xml:space="preserve">maximum NTS SO </w:t>
      </w:r>
      <w:r w:rsidR="00131537">
        <w:rPr>
          <w:sz w:val="22"/>
          <w:szCs w:val="22"/>
        </w:rPr>
        <w:t xml:space="preserve">allowed </w:t>
      </w:r>
      <w:r w:rsidR="00463EE2" w:rsidRPr="008574BC">
        <w:rPr>
          <w:sz w:val="22"/>
          <w:szCs w:val="22"/>
        </w:rPr>
        <w:t xml:space="preserve">revenue </w:t>
      </w:r>
      <w:r w:rsidRPr="008574BC">
        <w:rPr>
          <w:sz w:val="22"/>
          <w:szCs w:val="22"/>
        </w:rPr>
        <w:t xml:space="preserve">is collected </w:t>
      </w:r>
      <w:r w:rsidR="00463EE2" w:rsidRPr="008574BC">
        <w:rPr>
          <w:sz w:val="22"/>
          <w:szCs w:val="22"/>
        </w:rPr>
        <w:t xml:space="preserve">though </w:t>
      </w:r>
      <w:proofErr w:type="gramStart"/>
      <w:r w:rsidR="00463EE2" w:rsidRPr="008574BC">
        <w:rPr>
          <w:sz w:val="22"/>
          <w:szCs w:val="22"/>
        </w:rPr>
        <w:t>a number of</w:t>
      </w:r>
      <w:proofErr w:type="gramEnd"/>
      <w:r w:rsidR="00463EE2" w:rsidRPr="008574BC">
        <w:rPr>
          <w:sz w:val="22"/>
          <w:szCs w:val="22"/>
        </w:rPr>
        <w:t xml:space="preserve"> </w:t>
      </w:r>
      <w:r w:rsidR="005833EB">
        <w:rPr>
          <w:sz w:val="22"/>
          <w:szCs w:val="22"/>
        </w:rPr>
        <w:t>charge</w:t>
      </w:r>
      <w:r w:rsidR="00463EE2" w:rsidRPr="008574BC">
        <w:rPr>
          <w:sz w:val="22"/>
          <w:szCs w:val="22"/>
        </w:rPr>
        <w:t>s</w:t>
      </w:r>
      <w:r w:rsidR="00B276B1">
        <w:rPr>
          <w:sz w:val="22"/>
          <w:szCs w:val="22"/>
        </w:rPr>
        <w:t xml:space="preserve"> in addition to the standard SO Commodity </w:t>
      </w:r>
      <w:r w:rsidR="000214BE">
        <w:rPr>
          <w:sz w:val="22"/>
          <w:szCs w:val="22"/>
        </w:rPr>
        <w:t>charge</w:t>
      </w:r>
      <w:r w:rsidR="00463EE2" w:rsidRPr="008574BC">
        <w:rPr>
          <w:sz w:val="22"/>
          <w:szCs w:val="22"/>
        </w:rPr>
        <w:t xml:space="preserve">.  The revenue from these </w:t>
      </w:r>
      <w:r w:rsidR="00B276B1">
        <w:rPr>
          <w:sz w:val="22"/>
          <w:szCs w:val="22"/>
        </w:rPr>
        <w:t xml:space="preserve">other </w:t>
      </w:r>
      <w:r w:rsidR="005833EB">
        <w:rPr>
          <w:sz w:val="22"/>
          <w:szCs w:val="22"/>
        </w:rPr>
        <w:t>charge</w:t>
      </w:r>
      <w:r w:rsidR="00B276B1">
        <w:rPr>
          <w:sz w:val="22"/>
          <w:szCs w:val="22"/>
        </w:rPr>
        <w:t xml:space="preserve">s </w:t>
      </w:r>
      <w:r w:rsidR="00463EE2" w:rsidRPr="008574BC">
        <w:rPr>
          <w:sz w:val="22"/>
          <w:szCs w:val="22"/>
        </w:rPr>
        <w:t xml:space="preserve">must first be </w:t>
      </w:r>
      <w:r w:rsidR="00AF25F7">
        <w:rPr>
          <w:sz w:val="22"/>
          <w:szCs w:val="22"/>
        </w:rPr>
        <w:t>forecasted</w:t>
      </w:r>
      <w:r w:rsidR="00463EE2" w:rsidRPr="008574BC">
        <w:rPr>
          <w:sz w:val="22"/>
          <w:szCs w:val="22"/>
        </w:rPr>
        <w:t xml:space="preserve"> </w:t>
      </w:r>
      <w:r w:rsidR="00577684">
        <w:rPr>
          <w:sz w:val="22"/>
          <w:szCs w:val="22"/>
        </w:rPr>
        <w:t xml:space="preserve">so that the </w:t>
      </w:r>
      <w:r w:rsidR="00AF25F7">
        <w:rPr>
          <w:sz w:val="22"/>
          <w:szCs w:val="22"/>
        </w:rPr>
        <w:t>residual target</w:t>
      </w:r>
      <w:r w:rsidR="00577684">
        <w:rPr>
          <w:sz w:val="22"/>
          <w:szCs w:val="22"/>
        </w:rPr>
        <w:t xml:space="preserve"> revenue to be collected through</w:t>
      </w:r>
      <w:r w:rsidR="00463EE2" w:rsidRPr="008574BC">
        <w:rPr>
          <w:sz w:val="22"/>
          <w:szCs w:val="22"/>
        </w:rPr>
        <w:t xml:space="preserve"> the </w:t>
      </w:r>
      <w:r w:rsidRPr="008574BC">
        <w:rPr>
          <w:sz w:val="22"/>
          <w:szCs w:val="22"/>
        </w:rPr>
        <w:t xml:space="preserve">SO Commodity </w:t>
      </w:r>
      <w:r w:rsidR="000214BE">
        <w:rPr>
          <w:sz w:val="22"/>
          <w:szCs w:val="22"/>
        </w:rPr>
        <w:t>charge</w:t>
      </w:r>
      <w:r w:rsidR="00463EE2" w:rsidRPr="008574BC">
        <w:rPr>
          <w:sz w:val="22"/>
          <w:szCs w:val="22"/>
        </w:rPr>
        <w:t xml:space="preserve"> can be calculated</w:t>
      </w:r>
      <w:r w:rsidR="00B561F8" w:rsidRPr="008574BC">
        <w:rPr>
          <w:sz w:val="22"/>
          <w:szCs w:val="22"/>
        </w:rPr>
        <w:t>.</w:t>
      </w:r>
      <w:r w:rsidR="00463EE2" w:rsidRPr="008574BC">
        <w:rPr>
          <w:sz w:val="22"/>
          <w:szCs w:val="22"/>
        </w:rPr>
        <w:t xml:space="preserve"> </w:t>
      </w:r>
      <w:bookmarkStart w:id="2" w:name="OLE_LINK1"/>
      <w:bookmarkStart w:id="3" w:name="OLE_LINK2"/>
      <w:r w:rsidR="00EE13E4">
        <w:rPr>
          <w:sz w:val="22"/>
          <w:szCs w:val="22"/>
        </w:rPr>
        <w:t xml:space="preserve">The SO Commodity </w:t>
      </w:r>
      <w:r w:rsidR="005833EB">
        <w:rPr>
          <w:sz w:val="22"/>
          <w:szCs w:val="22"/>
        </w:rPr>
        <w:t>charge</w:t>
      </w:r>
      <w:r w:rsidR="00EE13E4">
        <w:rPr>
          <w:sz w:val="22"/>
          <w:szCs w:val="22"/>
        </w:rPr>
        <w:t xml:space="preserve"> is set such that the target actual SO Revenue equals the maximum NTS allowed revenue.</w:t>
      </w:r>
      <w:bookmarkEnd w:id="2"/>
      <w:bookmarkEnd w:id="3"/>
      <w:r w:rsidR="00463EE2" w:rsidRPr="008574BC">
        <w:rPr>
          <w:sz w:val="22"/>
          <w:szCs w:val="22"/>
        </w:rPr>
        <w:t xml:space="preserve"> </w:t>
      </w:r>
      <w:r w:rsidR="00EE13E4">
        <w:rPr>
          <w:sz w:val="22"/>
          <w:szCs w:val="22"/>
        </w:rPr>
        <w:t>The actual NTS SO revenue (SOR</w:t>
      </w:r>
      <w:r w:rsidR="00EE13E4" w:rsidRPr="00AA54A3">
        <w:rPr>
          <w:sz w:val="22"/>
          <w:szCs w:val="22"/>
          <w:vertAlign w:val="subscript"/>
        </w:rPr>
        <w:t>t</w:t>
      </w:r>
      <w:r w:rsidR="00EE13E4">
        <w:rPr>
          <w:sz w:val="22"/>
          <w:szCs w:val="22"/>
        </w:rPr>
        <w:t>)</w:t>
      </w:r>
      <w:r w:rsidR="000B352F">
        <w:rPr>
          <w:sz w:val="22"/>
          <w:szCs w:val="22"/>
        </w:rPr>
        <w:t xml:space="preserve"> is </w:t>
      </w:r>
      <w:r w:rsidR="000B352F" w:rsidRPr="008574BC">
        <w:rPr>
          <w:sz w:val="22"/>
          <w:szCs w:val="22"/>
        </w:rPr>
        <w:t>calculated using the following formula:</w:t>
      </w:r>
    </w:p>
    <w:p w:rsidR="000B352F" w:rsidRDefault="000B352F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0B352F" w:rsidRDefault="000B352F" w:rsidP="00AA54A3">
      <w:pPr>
        <w:tabs>
          <w:tab w:val="left" w:pos="567"/>
          <w:tab w:val="left" w:pos="1890"/>
        </w:tabs>
        <w:ind w:left="567" w:right="-312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SO</w:t>
      </w:r>
      <w:r w:rsidRPr="008574BC">
        <w:rPr>
          <w:sz w:val="22"/>
          <w:szCs w:val="22"/>
        </w:rPr>
        <w:t>R</w:t>
      </w:r>
      <w:r w:rsidRPr="00F45979">
        <w:rPr>
          <w:sz w:val="22"/>
          <w:szCs w:val="22"/>
          <w:vertAlign w:val="subscript"/>
        </w:rPr>
        <w:t>t</w:t>
      </w:r>
      <w:r>
        <w:rPr>
          <w:sz w:val="22"/>
          <w:szCs w:val="22"/>
        </w:rPr>
        <w:t xml:space="preserve">  =</w:t>
      </w:r>
      <w:proofErr w:type="gramEnd"/>
      <w:r w:rsidR="00842628">
        <w:rPr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 w:rsidRPr="008574BC">
        <w:rPr>
          <w:sz w:val="22"/>
          <w:szCs w:val="22"/>
        </w:rPr>
        <w:t>R</w:t>
      </w:r>
      <w:r w:rsidR="005C48EA">
        <w:rPr>
          <w:sz w:val="22"/>
          <w:szCs w:val="22"/>
        </w:rPr>
        <w:t>Ent</w:t>
      </w:r>
      <w:r w:rsidRPr="008574BC">
        <w:rPr>
          <w:sz w:val="22"/>
          <w:szCs w:val="22"/>
        </w:rPr>
        <w:t>C</w:t>
      </w:r>
      <w:r w:rsidRPr="00F45979">
        <w:rPr>
          <w:sz w:val="22"/>
          <w:szCs w:val="22"/>
          <w:vertAlign w:val="subscript"/>
        </w:rPr>
        <w:t>t</w:t>
      </w:r>
      <w:r w:rsidRPr="008574BC">
        <w:rPr>
          <w:sz w:val="22"/>
          <w:szCs w:val="22"/>
        </w:rPr>
        <w:t xml:space="preserve"> + SO</w:t>
      </w:r>
      <w:r>
        <w:rPr>
          <w:sz w:val="22"/>
          <w:szCs w:val="22"/>
        </w:rPr>
        <w:t>R</w:t>
      </w:r>
      <w:r w:rsidR="005C48EA">
        <w:rPr>
          <w:sz w:val="22"/>
          <w:szCs w:val="22"/>
        </w:rPr>
        <w:t>OC</w:t>
      </w:r>
      <w:r w:rsidRPr="00F45979">
        <w:rPr>
          <w:sz w:val="22"/>
          <w:szCs w:val="22"/>
          <w:vertAlign w:val="subscript"/>
        </w:rPr>
        <w:t>t</w:t>
      </w:r>
      <w:r w:rsidRPr="008574BC">
        <w:rPr>
          <w:sz w:val="22"/>
          <w:szCs w:val="22"/>
        </w:rPr>
        <w:t xml:space="preserve"> + SO</w:t>
      </w:r>
      <w:r w:rsidR="005C48EA">
        <w:rPr>
          <w:sz w:val="22"/>
          <w:szCs w:val="22"/>
        </w:rPr>
        <w:t>R</w:t>
      </w:r>
      <w:r>
        <w:rPr>
          <w:sz w:val="22"/>
          <w:szCs w:val="22"/>
        </w:rPr>
        <w:t>Ex</w:t>
      </w:r>
      <w:r w:rsidR="005C48EA">
        <w:rPr>
          <w:sz w:val="22"/>
          <w:szCs w:val="22"/>
        </w:rPr>
        <w:t>C</w:t>
      </w:r>
      <w:r w:rsidRPr="00F45979">
        <w:rPr>
          <w:sz w:val="22"/>
          <w:szCs w:val="22"/>
          <w:vertAlign w:val="subscript"/>
        </w:rPr>
        <w:t>t</w:t>
      </w:r>
      <w:r w:rsidRPr="008574BC">
        <w:rPr>
          <w:sz w:val="22"/>
          <w:szCs w:val="22"/>
        </w:rPr>
        <w:t xml:space="preserve"> + RC</w:t>
      </w:r>
      <w:r>
        <w:rPr>
          <w:sz w:val="22"/>
          <w:szCs w:val="22"/>
        </w:rPr>
        <w:t>OM</w:t>
      </w:r>
      <w:r w:rsidRPr="00F45979">
        <w:rPr>
          <w:sz w:val="22"/>
          <w:szCs w:val="22"/>
          <w:vertAlign w:val="subscript"/>
        </w:rPr>
        <w:t>t</w:t>
      </w:r>
      <w:r>
        <w:rPr>
          <w:sz w:val="22"/>
          <w:szCs w:val="22"/>
        </w:rPr>
        <w:t xml:space="preserve"> </w:t>
      </w:r>
    </w:p>
    <w:p w:rsidR="00AF25F7" w:rsidRDefault="00AF25F7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463EE2" w:rsidRPr="00AF199F" w:rsidRDefault="00D1636D" w:rsidP="009008CC">
      <w:pPr>
        <w:pStyle w:val="Heading4"/>
        <w:tabs>
          <w:tab w:val="left" w:pos="142"/>
        </w:tabs>
        <w:ind w:left="-567" w:right="-312" w:firstLine="0"/>
        <w:rPr>
          <w:i/>
          <w:color w:val="8064A2"/>
        </w:rPr>
      </w:pPr>
      <w:r w:rsidRPr="00AF199F">
        <w:rPr>
          <w:color w:val="8064A2"/>
        </w:rPr>
        <w:t xml:space="preserve">Other SO </w:t>
      </w:r>
      <w:r w:rsidR="000214BE" w:rsidRPr="00D33BBE">
        <w:rPr>
          <w:color w:val="8064A2"/>
        </w:rPr>
        <w:t>charge</w:t>
      </w:r>
      <w:r w:rsidRPr="00AF199F">
        <w:rPr>
          <w:color w:val="8064A2"/>
        </w:rPr>
        <w:t>s:</w:t>
      </w:r>
      <w:r w:rsidR="00AF199F">
        <w:rPr>
          <w:color w:val="8064A2"/>
        </w:rPr>
        <w:t xml:space="preserve"> </w:t>
      </w:r>
      <w:r w:rsidR="0011243C" w:rsidRPr="00AF199F">
        <w:rPr>
          <w:color w:val="8064A2"/>
        </w:rPr>
        <w:t xml:space="preserve">Associated SO </w:t>
      </w:r>
      <w:r w:rsidR="005833EB" w:rsidRPr="00AF199F">
        <w:rPr>
          <w:color w:val="8064A2"/>
        </w:rPr>
        <w:t>charge</w:t>
      </w:r>
      <w:r w:rsidR="0011243C" w:rsidRPr="00AF199F">
        <w:rPr>
          <w:color w:val="8064A2"/>
        </w:rPr>
        <w:t>s</w:t>
      </w:r>
      <w:r w:rsidR="0011243C" w:rsidRPr="00AF199F">
        <w:rPr>
          <w:i/>
          <w:color w:val="8064A2"/>
        </w:rPr>
        <w:t xml:space="preserve"> </w:t>
      </w:r>
    </w:p>
    <w:p w:rsidR="00463EE2" w:rsidRPr="008574BC" w:rsidRDefault="00463EE2" w:rsidP="009008CC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11243C" w:rsidRPr="00AF199F" w:rsidRDefault="00693CA9" w:rsidP="00E84004">
      <w:pPr>
        <w:tabs>
          <w:tab w:val="left" w:pos="142"/>
        </w:tabs>
        <w:ind w:left="-567" w:right="-312"/>
        <w:rPr>
          <w:color w:val="8064A2"/>
          <w:sz w:val="22"/>
          <w:szCs w:val="22"/>
        </w:rPr>
      </w:pPr>
      <w:r w:rsidRPr="00AF199F">
        <w:rPr>
          <w:b/>
          <w:color w:val="8064A2"/>
          <w:sz w:val="22"/>
          <w:szCs w:val="22"/>
        </w:rPr>
        <w:t>Table 2</w:t>
      </w:r>
      <w:r w:rsidRPr="00AF199F">
        <w:rPr>
          <w:color w:val="8064A2"/>
          <w:sz w:val="22"/>
          <w:szCs w:val="22"/>
        </w:rPr>
        <w:t xml:space="preserve"> shows f</w:t>
      </w:r>
      <w:r w:rsidR="0011243C" w:rsidRPr="00AF199F">
        <w:rPr>
          <w:color w:val="8064A2"/>
          <w:sz w:val="22"/>
          <w:szCs w:val="22"/>
        </w:rPr>
        <w:t xml:space="preserve">orecasted revenue resulting from associated SO </w:t>
      </w:r>
      <w:r w:rsidR="005833EB" w:rsidRPr="00D33BBE">
        <w:rPr>
          <w:color w:val="8064A2"/>
          <w:sz w:val="22"/>
          <w:szCs w:val="22"/>
        </w:rPr>
        <w:t>charge</w:t>
      </w:r>
      <w:r w:rsidR="0011243C" w:rsidRPr="00AF199F">
        <w:rPr>
          <w:color w:val="8064A2"/>
          <w:sz w:val="22"/>
          <w:szCs w:val="22"/>
        </w:rPr>
        <w:t>s levied by National Grid</w:t>
      </w:r>
      <w:r w:rsidR="00AF25F7" w:rsidRPr="00AF199F">
        <w:rPr>
          <w:color w:val="8064A2"/>
          <w:sz w:val="22"/>
          <w:szCs w:val="22"/>
        </w:rPr>
        <w:t xml:space="preserve"> </w:t>
      </w:r>
      <w:r w:rsidRPr="00AF199F">
        <w:rPr>
          <w:color w:val="8064A2"/>
          <w:sz w:val="22"/>
          <w:szCs w:val="22"/>
        </w:rPr>
        <w:t>which is</w:t>
      </w:r>
      <w:r w:rsidR="00463EE2" w:rsidRPr="00AF199F">
        <w:rPr>
          <w:color w:val="8064A2"/>
          <w:sz w:val="22"/>
          <w:szCs w:val="22"/>
        </w:rPr>
        <w:t xml:space="preserve"> deducted </w:t>
      </w:r>
      <w:r w:rsidR="00AF25F7" w:rsidRPr="00AF199F">
        <w:rPr>
          <w:color w:val="8064A2"/>
          <w:sz w:val="22"/>
          <w:szCs w:val="22"/>
        </w:rPr>
        <w:t>from the maximum NTS SO allowed revenue total</w:t>
      </w:r>
      <w:r w:rsidR="0011243C" w:rsidRPr="00AF199F">
        <w:rPr>
          <w:color w:val="8064A2"/>
          <w:sz w:val="22"/>
          <w:szCs w:val="22"/>
        </w:rPr>
        <w:t>.</w:t>
      </w:r>
    </w:p>
    <w:p w:rsidR="00DB55CD" w:rsidRDefault="00DB55CD" w:rsidP="00E84004">
      <w:pPr>
        <w:tabs>
          <w:tab w:val="left" w:pos="142"/>
        </w:tabs>
        <w:ind w:left="-567" w:right="-312"/>
      </w:pPr>
    </w:p>
    <w:p w:rsidR="004077CA" w:rsidRDefault="004077CA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6F3FA3" w:rsidRPr="00AF199F" w:rsidRDefault="006F3FA3" w:rsidP="009008CC">
      <w:pPr>
        <w:pStyle w:val="Heading4"/>
        <w:tabs>
          <w:tab w:val="left" w:pos="142"/>
        </w:tabs>
        <w:ind w:left="-567" w:right="-312" w:firstLine="0"/>
        <w:rPr>
          <w:color w:val="8064A2"/>
        </w:rPr>
      </w:pPr>
      <w:r w:rsidRPr="00AF199F">
        <w:rPr>
          <w:color w:val="8064A2"/>
        </w:rPr>
        <w:t xml:space="preserve">Adjustments </w:t>
      </w:r>
      <w:r w:rsidR="00577684" w:rsidRPr="00AF199F">
        <w:rPr>
          <w:color w:val="8064A2"/>
        </w:rPr>
        <w:t>for</w:t>
      </w:r>
      <w:r w:rsidRPr="00AF199F">
        <w:rPr>
          <w:color w:val="8064A2"/>
        </w:rPr>
        <w:t xml:space="preserve"> the sale of incremental capacity</w:t>
      </w:r>
    </w:p>
    <w:p w:rsidR="006F3FA3" w:rsidRPr="00AF199F" w:rsidRDefault="006F3FA3" w:rsidP="00E84004">
      <w:pPr>
        <w:tabs>
          <w:tab w:val="left" w:pos="142"/>
        </w:tabs>
        <w:ind w:left="-567" w:right="-312"/>
        <w:rPr>
          <w:color w:val="8064A2"/>
          <w:sz w:val="22"/>
          <w:szCs w:val="22"/>
        </w:rPr>
      </w:pPr>
    </w:p>
    <w:p w:rsidR="00693CA9" w:rsidRDefault="006F3FA3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8574BC">
        <w:rPr>
          <w:sz w:val="22"/>
          <w:szCs w:val="22"/>
        </w:rPr>
        <w:t>Revenue from the sale of</w:t>
      </w:r>
      <w:r w:rsidRPr="00F278FC">
        <w:rPr>
          <w:b/>
          <w:sz w:val="22"/>
          <w:szCs w:val="22"/>
        </w:rPr>
        <w:t xml:space="preserve"> </w:t>
      </w:r>
      <w:r w:rsidR="005C48EA" w:rsidRPr="00F278FC">
        <w:rPr>
          <w:b/>
          <w:sz w:val="22"/>
          <w:szCs w:val="22"/>
        </w:rPr>
        <w:t>legacy</w:t>
      </w:r>
      <w:r w:rsidR="005C48EA">
        <w:rPr>
          <w:sz w:val="22"/>
          <w:szCs w:val="22"/>
        </w:rPr>
        <w:t xml:space="preserve"> </w:t>
      </w:r>
      <w:r w:rsidRPr="008574BC">
        <w:rPr>
          <w:sz w:val="22"/>
          <w:szCs w:val="22"/>
        </w:rPr>
        <w:t xml:space="preserve">incremental entry and exit </w:t>
      </w:r>
      <w:r w:rsidR="00577684">
        <w:rPr>
          <w:sz w:val="22"/>
          <w:szCs w:val="22"/>
        </w:rPr>
        <w:t xml:space="preserve">capacity is </w:t>
      </w:r>
      <w:r w:rsidR="00131537">
        <w:rPr>
          <w:sz w:val="22"/>
          <w:szCs w:val="22"/>
        </w:rPr>
        <w:t>deducted</w:t>
      </w:r>
      <w:r w:rsidRPr="008574BC">
        <w:rPr>
          <w:sz w:val="22"/>
          <w:szCs w:val="22"/>
        </w:rPr>
        <w:t xml:space="preserve"> as this is recov</w:t>
      </w:r>
      <w:r w:rsidR="00F73A6A" w:rsidRPr="008574BC">
        <w:rPr>
          <w:sz w:val="22"/>
          <w:szCs w:val="22"/>
        </w:rPr>
        <w:t>ered through</w:t>
      </w:r>
      <w:r w:rsidR="006C367C">
        <w:rPr>
          <w:sz w:val="22"/>
          <w:szCs w:val="22"/>
        </w:rPr>
        <w:t xml:space="preserve"> the relevant</w:t>
      </w:r>
      <w:r w:rsidR="00F73A6A" w:rsidRPr="008574BC">
        <w:rPr>
          <w:sz w:val="22"/>
          <w:szCs w:val="22"/>
        </w:rPr>
        <w:t xml:space="preserve"> capacity </w:t>
      </w:r>
      <w:r w:rsidR="005833EB">
        <w:rPr>
          <w:sz w:val="22"/>
          <w:szCs w:val="22"/>
        </w:rPr>
        <w:t>charge</w:t>
      </w:r>
      <w:r w:rsidR="00F73A6A" w:rsidRPr="008574BC">
        <w:rPr>
          <w:sz w:val="22"/>
          <w:szCs w:val="22"/>
        </w:rPr>
        <w:t xml:space="preserve">s.  For </w:t>
      </w:r>
      <w:proofErr w:type="gramStart"/>
      <w:r w:rsidR="00F73A6A" w:rsidRPr="008574BC">
        <w:rPr>
          <w:sz w:val="22"/>
          <w:szCs w:val="22"/>
        </w:rPr>
        <w:t>entry</w:t>
      </w:r>
      <w:proofErr w:type="gramEnd"/>
      <w:r w:rsidR="00F73A6A" w:rsidRPr="008574BC">
        <w:rPr>
          <w:sz w:val="22"/>
          <w:szCs w:val="22"/>
        </w:rPr>
        <w:t xml:space="preserve"> the</w:t>
      </w:r>
      <w:r w:rsidR="00837CD2" w:rsidRPr="008574BC">
        <w:rPr>
          <w:sz w:val="22"/>
          <w:szCs w:val="22"/>
        </w:rPr>
        <w:t xml:space="preserve"> amount </w:t>
      </w:r>
      <w:r w:rsidR="00817E72" w:rsidRPr="008574BC">
        <w:rPr>
          <w:sz w:val="22"/>
          <w:szCs w:val="22"/>
        </w:rPr>
        <w:t xml:space="preserve">equates </w:t>
      </w:r>
      <w:r w:rsidR="005157C3" w:rsidRPr="008574BC">
        <w:rPr>
          <w:sz w:val="22"/>
          <w:szCs w:val="22"/>
        </w:rPr>
        <w:t xml:space="preserve">to </w:t>
      </w:r>
      <w:r w:rsidR="00241304" w:rsidRPr="008574BC">
        <w:rPr>
          <w:sz w:val="22"/>
          <w:szCs w:val="22"/>
        </w:rPr>
        <w:t>revenue</w:t>
      </w:r>
      <w:r w:rsidR="00241304">
        <w:rPr>
          <w:sz w:val="22"/>
          <w:szCs w:val="22"/>
        </w:rPr>
        <w:t xml:space="preserve"> resulting from </w:t>
      </w:r>
      <w:r w:rsidR="006C367C">
        <w:rPr>
          <w:sz w:val="22"/>
          <w:szCs w:val="22"/>
        </w:rPr>
        <w:t xml:space="preserve">any </w:t>
      </w:r>
      <w:r w:rsidR="005157C3" w:rsidRPr="008574BC">
        <w:rPr>
          <w:sz w:val="22"/>
          <w:szCs w:val="22"/>
        </w:rPr>
        <w:t xml:space="preserve">incremental </w:t>
      </w:r>
      <w:r w:rsidR="00241304">
        <w:rPr>
          <w:sz w:val="22"/>
          <w:szCs w:val="22"/>
        </w:rPr>
        <w:t xml:space="preserve">capacity </w:t>
      </w:r>
      <w:r w:rsidR="006C367C">
        <w:rPr>
          <w:sz w:val="22"/>
          <w:szCs w:val="22"/>
        </w:rPr>
        <w:t xml:space="preserve">allocated through the Entry Capacity auctions held ahead of the gas day and this capacity may either be obligated or non-obligated. The revenue is effectively used to net off the incremental SO </w:t>
      </w:r>
      <w:r w:rsidR="00241304">
        <w:rPr>
          <w:sz w:val="22"/>
          <w:szCs w:val="22"/>
        </w:rPr>
        <w:t xml:space="preserve">allowed </w:t>
      </w:r>
      <w:r w:rsidR="006C367C">
        <w:rPr>
          <w:sz w:val="22"/>
          <w:szCs w:val="22"/>
        </w:rPr>
        <w:t>costs included in SOMR</w:t>
      </w:r>
      <w:r w:rsidR="006C367C" w:rsidRPr="006C367C">
        <w:rPr>
          <w:sz w:val="22"/>
          <w:szCs w:val="22"/>
          <w:vertAlign w:val="subscript"/>
        </w:rPr>
        <w:t>t</w:t>
      </w:r>
      <w:r w:rsidR="006C367C">
        <w:rPr>
          <w:sz w:val="22"/>
          <w:szCs w:val="22"/>
        </w:rPr>
        <w:t xml:space="preserve">. For exit the adjustment is equal to the forecasted revenue collected in the formula year in relation to Exit </w:t>
      </w:r>
      <w:r w:rsidR="000214BE">
        <w:rPr>
          <w:sz w:val="22"/>
          <w:szCs w:val="22"/>
        </w:rPr>
        <w:t>charge</w:t>
      </w:r>
      <w:r w:rsidR="006C367C">
        <w:rPr>
          <w:sz w:val="22"/>
          <w:szCs w:val="22"/>
        </w:rPr>
        <w:t>s for firm exit capacity above the baseline.</w:t>
      </w:r>
    </w:p>
    <w:p w:rsidR="00693CA9" w:rsidRDefault="00693CA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8D618B" w:rsidRPr="00AF199F" w:rsidRDefault="00693CA9" w:rsidP="00E84004">
      <w:pPr>
        <w:tabs>
          <w:tab w:val="left" w:pos="142"/>
        </w:tabs>
        <w:ind w:left="-567" w:right="-312"/>
        <w:rPr>
          <w:color w:val="8064A2"/>
          <w:sz w:val="22"/>
          <w:szCs w:val="22"/>
        </w:rPr>
      </w:pPr>
      <w:r w:rsidRPr="00AF199F">
        <w:rPr>
          <w:b/>
          <w:color w:val="8064A2"/>
          <w:sz w:val="22"/>
          <w:szCs w:val="22"/>
        </w:rPr>
        <w:t>Table 3</w:t>
      </w:r>
      <w:r w:rsidRPr="00AF199F">
        <w:rPr>
          <w:color w:val="8064A2"/>
          <w:sz w:val="22"/>
          <w:szCs w:val="22"/>
        </w:rPr>
        <w:t xml:space="preserve"> shows the adjustments for the sale of incremental capacity.</w:t>
      </w:r>
      <w:r w:rsidR="005157C3" w:rsidRPr="00AF199F">
        <w:rPr>
          <w:color w:val="8064A2"/>
          <w:sz w:val="22"/>
          <w:szCs w:val="22"/>
        </w:rPr>
        <w:t xml:space="preserve"> </w:t>
      </w:r>
    </w:p>
    <w:p w:rsidR="005157C3" w:rsidRPr="008574BC" w:rsidRDefault="005157C3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6F3FA3" w:rsidRPr="00AF199F" w:rsidRDefault="006F3FA3" w:rsidP="009008CC">
      <w:pPr>
        <w:pStyle w:val="Heading4"/>
        <w:tabs>
          <w:tab w:val="left" w:pos="142"/>
        </w:tabs>
        <w:ind w:left="-567" w:right="-312" w:firstLine="0"/>
        <w:rPr>
          <w:color w:val="8064A2"/>
        </w:rPr>
      </w:pPr>
      <w:r w:rsidRPr="00AF199F">
        <w:rPr>
          <w:color w:val="8064A2"/>
        </w:rPr>
        <w:t xml:space="preserve">Adjustments for other </w:t>
      </w:r>
      <w:r w:rsidR="000214BE" w:rsidRPr="00D33BBE">
        <w:rPr>
          <w:color w:val="8064A2"/>
        </w:rPr>
        <w:t>charge</w:t>
      </w:r>
      <w:r w:rsidR="00DD5838" w:rsidRPr="00AF199F">
        <w:rPr>
          <w:color w:val="8064A2"/>
        </w:rPr>
        <w:t xml:space="preserve">s </w:t>
      </w:r>
    </w:p>
    <w:p w:rsidR="006F3FA3" w:rsidRPr="00AF199F" w:rsidRDefault="006F3FA3" w:rsidP="00E84004">
      <w:pPr>
        <w:tabs>
          <w:tab w:val="left" w:pos="142"/>
        </w:tabs>
        <w:ind w:left="-567" w:right="-312"/>
        <w:rPr>
          <w:color w:val="8064A2"/>
          <w:sz w:val="22"/>
          <w:szCs w:val="22"/>
        </w:rPr>
      </w:pPr>
    </w:p>
    <w:p w:rsidR="007046A1" w:rsidRDefault="00F73A6A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8574BC">
        <w:rPr>
          <w:sz w:val="22"/>
          <w:szCs w:val="22"/>
        </w:rPr>
        <w:t xml:space="preserve">A proportion of the </w:t>
      </w:r>
      <w:r w:rsidR="00BD0052" w:rsidRPr="008574BC">
        <w:rPr>
          <w:sz w:val="22"/>
          <w:szCs w:val="22"/>
        </w:rPr>
        <w:t xml:space="preserve">SO </w:t>
      </w:r>
      <w:r w:rsidR="007046A1" w:rsidRPr="008574BC">
        <w:rPr>
          <w:sz w:val="22"/>
          <w:szCs w:val="22"/>
        </w:rPr>
        <w:t xml:space="preserve">costs are recovered through the St Fergus Compression </w:t>
      </w:r>
      <w:r w:rsidR="000214BE">
        <w:rPr>
          <w:sz w:val="22"/>
          <w:szCs w:val="22"/>
        </w:rPr>
        <w:t>charge</w:t>
      </w:r>
      <w:r w:rsidR="004077CA">
        <w:rPr>
          <w:sz w:val="22"/>
          <w:szCs w:val="22"/>
        </w:rPr>
        <w:t>,</w:t>
      </w:r>
      <w:r w:rsidRPr="008574BC">
        <w:rPr>
          <w:sz w:val="22"/>
          <w:szCs w:val="22"/>
        </w:rPr>
        <w:t xml:space="preserve"> </w:t>
      </w:r>
      <w:r w:rsidR="00E10548">
        <w:rPr>
          <w:sz w:val="22"/>
          <w:szCs w:val="22"/>
        </w:rPr>
        <w:t xml:space="preserve">NTS </w:t>
      </w:r>
      <w:r w:rsidR="009A2CDE">
        <w:rPr>
          <w:sz w:val="22"/>
          <w:szCs w:val="22"/>
        </w:rPr>
        <w:t>Optional</w:t>
      </w:r>
      <w:r w:rsidR="007046A1" w:rsidRPr="008574BC">
        <w:rPr>
          <w:sz w:val="22"/>
          <w:szCs w:val="22"/>
        </w:rPr>
        <w:t xml:space="preserve"> </w:t>
      </w:r>
      <w:r w:rsidRPr="008574BC">
        <w:rPr>
          <w:sz w:val="22"/>
          <w:szCs w:val="22"/>
        </w:rPr>
        <w:t xml:space="preserve">Commodity </w:t>
      </w:r>
      <w:r w:rsidR="000214BE">
        <w:rPr>
          <w:sz w:val="22"/>
          <w:szCs w:val="22"/>
        </w:rPr>
        <w:t>charge</w:t>
      </w:r>
      <w:r w:rsidR="009A2CDE">
        <w:rPr>
          <w:sz w:val="22"/>
          <w:szCs w:val="22"/>
        </w:rPr>
        <w:t xml:space="preserve"> (shorthaul)</w:t>
      </w:r>
      <w:r w:rsidR="004077CA">
        <w:rPr>
          <w:sz w:val="22"/>
          <w:szCs w:val="22"/>
        </w:rPr>
        <w:t xml:space="preserve"> and Capacity Neutrality </w:t>
      </w:r>
      <w:r w:rsidR="00CF26ED">
        <w:rPr>
          <w:sz w:val="22"/>
          <w:szCs w:val="22"/>
        </w:rPr>
        <w:t>Buyback revenue</w:t>
      </w:r>
      <w:r w:rsidR="005C1A95">
        <w:rPr>
          <w:sz w:val="22"/>
          <w:szCs w:val="22"/>
        </w:rPr>
        <w:t>.</w:t>
      </w:r>
      <w:r w:rsidR="00577684">
        <w:rPr>
          <w:sz w:val="22"/>
          <w:szCs w:val="22"/>
        </w:rPr>
        <w:t xml:space="preserve"> </w:t>
      </w:r>
      <w:r w:rsidR="00577684" w:rsidRPr="008574BC">
        <w:rPr>
          <w:sz w:val="22"/>
          <w:szCs w:val="22"/>
        </w:rPr>
        <w:t xml:space="preserve">The St Fergus Compression </w:t>
      </w:r>
      <w:r w:rsidR="000214BE">
        <w:rPr>
          <w:sz w:val="22"/>
          <w:szCs w:val="22"/>
        </w:rPr>
        <w:t>charge</w:t>
      </w:r>
      <w:r w:rsidR="00577684" w:rsidRPr="008574BC">
        <w:rPr>
          <w:sz w:val="22"/>
          <w:szCs w:val="22"/>
        </w:rPr>
        <w:t xml:space="preserve"> recovers </w:t>
      </w:r>
      <w:r w:rsidR="00577684">
        <w:rPr>
          <w:sz w:val="22"/>
          <w:szCs w:val="22"/>
        </w:rPr>
        <w:t xml:space="preserve">the </w:t>
      </w:r>
      <w:r w:rsidR="00577684" w:rsidRPr="008574BC">
        <w:rPr>
          <w:sz w:val="22"/>
          <w:szCs w:val="22"/>
        </w:rPr>
        <w:t xml:space="preserve">compression costs associated with the </w:t>
      </w:r>
      <w:r w:rsidR="002E11B5">
        <w:rPr>
          <w:sz w:val="22"/>
          <w:szCs w:val="22"/>
        </w:rPr>
        <w:t xml:space="preserve">North Sea Midstream Partners (NSMP) sub-terminal at </w:t>
      </w:r>
      <w:r w:rsidR="00131537">
        <w:rPr>
          <w:sz w:val="22"/>
          <w:szCs w:val="22"/>
        </w:rPr>
        <w:t>St. Fergus</w:t>
      </w:r>
      <w:r w:rsidR="006C367C">
        <w:rPr>
          <w:sz w:val="22"/>
          <w:szCs w:val="22"/>
        </w:rPr>
        <w:t xml:space="preserve"> directly from those shippers at that terminal due to local pressure tier </w:t>
      </w:r>
      <w:r w:rsidR="00567C5E">
        <w:rPr>
          <w:sz w:val="22"/>
          <w:szCs w:val="22"/>
        </w:rPr>
        <w:t>arrangements</w:t>
      </w:r>
      <w:r w:rsidR="00577684" w:rsidRPr="008574BC">
        <w:rPr>
          <w:sz w:val="22"/>
          <w:szCs w:val="22"/>
        </w:rPr>
        <w:t>.</w:t>
      </w:r>
      <w:r w:rsidR="00577684">
        <w:rPr>
          <w:sz w:val="22"/>
          <w:szCs w:val="22"/>
        </w:rPr>
        <w:t xml:space="preserve">  </w:t>
      </w:r>
      <w:r w:rsidR="007046A1" w:rsidRPr="008574BC">
        <w:rPr>
          <w:sz w:val="22"/>
          <w:szCs w:val="22"/>
        </w:rPr>
        <w:t xml:space="preserve">The </w:t>
      </w:r>
      <w:r w:rsidR="009A2CDE">
        <w:rPr>
          <w:sz w:val="22"/>
          <w:szCs w:val="22"/>
        </w:rPr>
        <w:t>O</w:t>
      </w:r>
      <w:r w:rsidR="006C367C">
        <w:rPr>
          <w:sz w:val="22"/>
          <w:szCs w:val="22"/>
        </w:rPr>
        <w:t>ptional</w:t>
      </w:r>
      <w:r w:rsidRPr="008574BC">
        <w:rPr>
          <w:sz w:val="22"/>
          <w:szCs w:val="22"/>
        </w:rPr>
        <w:t xml:space="preserve"> C</w:t>
      </w:r>
      <w:r w:rsidR="00BD0052" w:rsidRPr="008574BC">
        <w:rPr>
          <w:sz w:val="22"/>
          <w:szCs w:val="22"/>
        </w:rPr>
        <w:t xml:space="preserve">ommodity </w:t>
      </w:r>
      <w:r w:rsidR="000214BE">
        <w:rPr>
          <w:sz w:val="22"/>
          <w:szCs w:val="22"/>
        </w:rPr>
        <w:t>charge</w:t>
      </w:r>
      <w:r w:rsidR="006C367C">
        <w:rPr>
          <w:sz w:val="22"/>
          <w:szCs w:val="22"/>
        </w:rPr>
        <w:t xml:space="preserve"> is offered as a replacement to the</w:t>
      </w:r>
      <w:r w:rsidRPr="008574BC">
        <w:rPr>
          <w:sz w:val="22"/>
          <w:szCs w:val="22"/>
        </w:rPr>
        <w:t xml:space="preserve"> </w:t>
      </w:r>
      <w:r w:rsidR="00BD0052" w:rsidRPr="008574BC">
        <w:rPr>
          <w:sz w:val="22"/>
          <w:szCs w:val="22"/>
        </w:rPr>
        <w:t xml:space="preserve">TO and </w:t>
      </w:r>
      <w:r w:rsidR="007046A1" w:rsidRPr="008574BC">
        <w:rPr>
          <w:sz w:val="22"/>
          <w:szCs w:val="22"/>
        </w:rPr>
        <w:t>SO</w:t>
      </w:r>
      <w:r w:rsidR="00BD0052" w:rsidRPr="008574BC">
        <w:rPr>
          <w:sz w:val="22"/>
          <w:szCs w:val="22"/>
        </w:rPr>
        <w:t xml:space="preserve"> </w:t>
      </w:r>
      <w:r w:rsidR="007046A1" w:rsidRPr="008574BC">
        <w:rPr>
          <w:sz w:val="22"/>
          <w:szCs w:val="22"/>
        </w:rPr>
        <w:t xml:space="preserve">Commodity </w:t>
      </w:r>
      <w:r w:rsidR="000214BE">
        <w:rPr>
          <w:sz w:val="22"/>
          <w:szCs w:val="22"/>
        </w:rPr>
        <w:t>charge</w:t>
      </w:r>
      <w:r w:rsidR="00577684" w:rsidRPr="008574BC">
        <w:rPr>
          <w:sz w:val="22"/>
          <w:szCs w:val="22"/>
        </w:rPr>
        <w:t>s</w:t>
      </w:r>
      <w:r w:rsidR="00BD0052" w:rsidRPr="008574BC">
        <w:rPr>
          <w:sz w:val="22"/>
          <w:szCs w:val="22"/>
        </w:rPr>
        <w:t>.</w:t>
      </w:r>
      <w:r w:rsidR="007046A1" w:rsidRPr="008574BC">
        <w:rPr>
          <w:sz w:val="22"/>
          <w:szCs w:val="22"/>
        </w:rPr>
        <w:t xml:space="preserve"> </w:t>
      </w:r>
      <w:r w:rsidRPr="008574BC">
        <w:rPr>
          <w:sz w:val="22"/>
          <w:szCs w:val="22"/>
        </w:rPr>
        <w:t xml:space="preserve"> </w:t>
      </w:r>
      <w:r w:rsidR="00577684" w:rsidRPr="008574BC">
        <w:rPr>
          <w:sz w:val="22"/>
          <w:szCs w:val="22"/>
        </w:rPr>
        <w:t xml:space="preserve">In </w:t>
      </w:r>
      <w:r w:rsidR="00D45C3E">
        <w:rPr>
          <w:sz w:val="22"/>
          <w:szCs w:val="22"/>
        </w:rPr>
        <w:t>all</w:t>
      </w:r>
      <w:r w:rsidR="00577684" w:rsidRPr="008574BC">
        <w:rPr>
          <w:sz w:val="22"/>
          <w:szCs w:val="22"/>
        </w:rPr>
        <w:t xml:space="preserve"> cases, the </w:t>
      </w:r>
      <w:r w:rsidR="00577684">
        <w:rPr>
          <w:sz w:val="22"/>
          <w:szCs w:val="22"/>
        </w:rPr>
        <w:t xml:space="preserve">forecast </w:t>
      </w:r>
      <w:r w:rsidR="00577684" w:rsidRPr="008574BC">
        <w:rPr>
          <w:sz w:val="22"/>
          <w:szCs w:val="22"/>
        </w:rPr>
        <w:t xml:space="preserve">revenue recovered from these </w:t>
      </w:r>
      <w:r w:rsidR="005833EB">
        <w:rPr>
          <w:sz w:val="22"/>
          <w:szCs w:val="22"/>
        </w:rPr>
        <w:t>charge</w:t>
      </w:r>
      <w:r w:rsidR="00577684" w:rsidRPr="008574BC">
        <w:rPr>
          <w:sz w:val="22"/>
          <w:szCs w:val="22"/>
        </w:rPr>
        <w:t xml:space="preserve">s is </w:t>
      </w:r>
      <w:r w:rsidR="00F11B66" w:rsidRPr="008574BC">
        <w:rPr>
          <w:sz w:val="22"/>
          <w:szCs w:val="22"/>
        </w:rPr>
        <w:t xml:space="preserve">deducted </w:t>
      </w:r>
      <w:r w:rsidR="007046A1" w:rsidRPr="008574BC">
        <w:rPr>
          <w:sz w:val="22"/>
          <w:szCs w:val="22"/>
        </w:rPr>
        <w:t xml:space="preserve">from </w:t>
      </w:r>
      <w:r w:rsidRPr="008574BC">
        <w:rPr>
          <w:sz w:val="22"/>
          <w:szCs w:val="22"/>
        </w:rPr>
        <w:t>SOMR</w:t>
      </w:r>
      <w:r w:rsidRPr="006C367C">
        <w:rPr>
          <w:sz w:val="22"/>
          <w:szCs w:val="22"/>
          <w:vertAlign w:val="subscript"/>
        </w:rPr>
        <w:t>t</w:t>
      </w:r>
      <w:r w:rsidR="007046A1" w:rsidRPr="008574BC">
        <w:rPr>
          <w:sz w:val="22"/>
          <w:szCs w:val="22"/>
        </w:rPr>
        <w:t>.</w:t>
      </w:r>
    </w:p>
    <w:p w:rsidR="00693CA9" w:rsidRDefault="00693CA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693CA9" w:rsidRPr="00AF199F" w:rsidRDefault="00693CA9" w:rsidP="00E84004">
      <w:pPr>
        <w:tabs>
          <w:tab w:val="left" w:pos="142"/>
        </w:tabs>
        <w:ind w:left="-567" w:right="-312"/>
        <w:rPr>
          <w:color w:val="8064A2"/>
          <w:sz w:val="22"/>
          <w:szCs w:val="22"/>
        </w:rPr>
      </w:pPr>
      <w:r w:rsidRPr="00AF199F">
        <w:rPr>
          <w:b/>
          <w:color w:val="8064A2"/>
          <w:sz w:val="22"/>
          <w:szCs w:val="22"/>
        </w:rPr>
        <w:t>Table 4</w:t>
      </w:r>
      <w:r w:rsidRPr="00AF199F">
        <w:rPr>
          <w:color w:val="8064A2"/>
          <w:sz w:val="22"/>
          <w:szCs w:val="22"/>
        </w:rPr>
        <w:t xml:space="preserve"> shows the adjustments for other </w:t>
      </w:r>
      <w:r w:rsidR="005833EB" w:rsidRPr="00D33BBE">
        <w:rPr>
          <w:color w:val="8064A2"/>
          <w:sz w:val="22"/>
          <w:szCs w:val="22"/>
        </w:rPr>
        <w:t>charge</w:t>
      </w:r>
      <w:r w:rsidRPr="00AF199F">
        <w:rPr>
          <w:color w:val="8064A2"/>
          <w:sz w:val="22"/>
          <w:szCs w:val="22"/>
        </w:rPr>
        <w:t>s.</w:t>
      </w:r>
    </w:p>
    <w:p w:rsidR="007046A1" w:rsidRPr="00AF199F" w:rsidRDefault="007046A1" w:rsidP="00E84004">
      <w:pPr>
        <w:tabs>
          <w:tab w:val="left" w:pos="142"/>
        </w:tabs>
        <w:ind w:left="-567" w:right="-312"/>
        <w:rPr>
          <w:color w:val="8064A2"/>
          <w:sz w:val="22"/>
          <w:szCs w:val="22"/>
        </w:rPr>
      </w:pPr>
    </w:p>
    <w:p w:rsidR="008574BC" w:rsidRPr="00AF199F" w:rsidRDefault="006601D0" w:rsidP="00E84004">
      <w:pPr>
        <w:tabs>
          <w:tab w:val="left" w:pos="142"/>
        </w:tabs>
        <w:ind w:left="-567" w:right="-312"/>
        <w:rPr>
          <w:color w:val="8064A2"/>
          <w:sz w:val="22"/>
          <w:szCs w:val="22"/>
        </w:rPr>
      </w:pPr>
      <w:r w:rsidRPr="00AF199F">
        <w:rPr>
          <w:b/>
          <w:color w:val="8064A2"/>
          <w:sz w:val="22"/>
          <w:szCs w:val="22"/>
        </w:rPr>
        <w:t xml:space="preserve">Table 5 </w:t>
      </w:r>
      <w:r w:rsidRPr="0088715F">
        <w:rPr>
          <w:color w:val="8064A2"/>
          <w:sz w:val="22"/>
          <w:szCs w:val="22"/>
        </w:rPr>
        <w:t>shows t</w:t>
      </w:r>
      <w:r w:rsidR="00577684" w:rsidRPr="0088715F">
        <w:rPr>
          <w:color w:val="8064A2"/>
          <w:sz w:val="22"/>
          <w:szCs w:val="22"/>
        </w:rPr>
        <w:t>he</w:t>
      </w:r>
      <w:r w:rsidR="00577684" w:rsidRPr="00AF199F">
        <w:rPr>
          <w:color w:val="8064A2"/>
          <w:sz w:val="22"/>
          <w:szCs w:val="22"/>
        </w:rPr>
        <w:t xml:space="preserve"> target revenue to be recovered through the SO Commodity </w:t>
      </w:r>
      <w:r w:rsidR="000214BE" w:rsidRPr="00D33BBE">
        <w:rPr>
          <w:color w:val="8064A2"/>
          <w:sz w:val="22"/>
          <w:szCs w:val="22"/>
        </w:rPr>
        <w:t>charge</w:t>
      </w:r>
      <w:r w:rsidRPr="00AF199F">
        <w:rPr>
          <w:color w:val="8064A2"/>
          <w:sz w:val="22"/>
          <w:szCs w:val="22"/>
        </w:rPr>
        <w:t>.</w:t>
      </w:r>
      <w:r w:rsidR="00577684" w:rsidRPr="00AF199F">
        <w:rPr>
          <w:color w:val="8064A2"/>
          <w:sz w:val="22"/>
          <w:szCs w:val="22"/>
        </w:rPr>
        <w:t xml:space="preserve"> </w:t>
      </w:r>
    </w:p>
    <w:p w:rsidR="00E010B8" w:rsidRPr="008574BC" w:rsidRDefault="00DB55CD" w:rsidP="00E84004">
      <w:pPr>
        <w:pStyle w:val="Caption"/>
        <w:keepNext/>
        <w:tabs>
          <w:tab w:val="left" w:pos="142"/>
        </w:tabs>
        <w:ind w:left="-567" w:right="-312"/>
        <w:rPr>
          <w:sz w:val="22"/>
          <w:szCs w:val="22"/>
        </w:rPr>
      </w:pPr>
      <w:r w:rsidRPr="00DB55CD">
        <w:rPr>
          <w:b w:val="0"/>
          <w:bCs w:val="0"/>
        </w:rPr>
        <w:t xml:space="preserve"> </w:t>
      </w:r>
    </w:p>
    <w:p w:rsidR="006601D0" w:rsidRDefault="00577684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Th</w:t>
      </w:r>
      <w:r w:rsidR="007A0E45">
        <w:rPr>
          <w:sz w:val="22"/>
          <w:szCs w:val="22"/>
        </w:rPr>
        <w:t>e</w:t>
      </w:r>
      <w:r>
        <w:rPr>
          <w:sz w:val="22"/>
          <w:szCs w:val="22"/>
        </w:rPr>
        <w:t xml:space="preserve"> figure changes as National Grid’s view of </w:t>
      </w:r>
      <w:r w:rsidR="00741381">
        <w:rPr>
          <w:sz w:val="22"/>
          <w:szCs w:val="22"/>
        </w:rPr>
        <w:t xml:space="preserve">the above </w:t>
      </w:r>
      <w:r>
        <w:rPr>
          <w:sz w:val="22"/>
          <w:szCs w:val="22"/>
        </w:rPr>
        <w:t xml:space="preserve">costs </w:t>
      </w:r>
      <w:r w:rsidR="00741381">
        <w:rPr>
          <w:sz w:val="22"/>
          <w:szCs w:val="22"/>
        </w:rPr>
        <w:t xml:space="preserve">and revenue </w:t>
      </w:r>
      <w:r>
        <w:rPr>
          <w:sz w:val="22"/>
          <w:szCs w:val="22"/>
        </w:rPr>
        <w:t xml:space="preserve">change.  </w:t>
      </w:r>
    </w:p>
    <w:p w:rsidR="006601D0" w:rsidRDefault="006601D0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4A5C20" w:rsidRPr="00AF199F" w:rsidRDefault="004A5C20" w:rsidP="00E84004">
      <w:pPr>
        <w:tabs>
          <w:tab w:val="left" w:pos="142"/>
        </w:tabs>
        <w:ind w:left="-567" w:right="-312"/>
        <w:rPr>
          <w:color w:val="8064A2"/>
          <w:sz w:val="22"/>
          <w:szCs w:val="22"/>
        </w:rPr>
      </w:pPr>
      <w:r w:rsidRPr="00AF199F">
        <w:rPr>
          <w:b/>
          <w:color w:val="8064A2"/>
          <w:sz w:val="22"/>
          <w:szCs w:val="22"/>
        </w:rPr>
        <w:t>T</w:t>
      </w:r>
      <w:r w:rsidR="00577684" w:rsidRPr="00AF199F">
        <w:rPr>
          <w:b/>
          <w:color w:val="8064A2"/>
          <w:sz w:val="22"/>
          <w:szCs w:val="22"/>
        </w:rPr>
        <w:t>able</w:t>
      </w:r>
      <w:r w:rsidRPr="00AF199F">
        <w:rPr>
          <w:b/>
          <w:color w:val="8064A2"/>
          <w:sz w:val="22"/>
          <w:szCs w:val="22"/>
        </w:rPr>
        <w:t xml:space="preserve"> 6</w:t>
      </w:r>
      <w:r w:rsidRPr="00AF199F">
        <w:rPr>
          <w:color w:val="8064A2"/>
          <w:sz w:val="22"/>
          <w:szCs w:val="22"/>
        </w:rPr>
        <w:t xml:space="preserve"> </w:t>
      </w:r>
      <w:r w:rsidR="00577684" w:rsidRPr="00AF199F">
        <w:rPr>
          <w:color w:val="8064A2"/>
          <w:sz w:val="22"/>
          <w:szCs w:val="22"/>
        </w:rPr>
        <w:t xml:space="preserve">details how the target revenue to be collected through the SO Commodity </w:t>
      </w:r>
      <w:r w:rsidR="000214BE" w:rsidRPr="00D33BBE">
        <w:rPr>
          <w:color w:val="8064A2"/>
          <w:sz w:val="22"/>
          <w:szCs w:val="22"/>
        </w:rPr>
        <w:t>charge</w:t>
      </w:r>
      <w:r w:rsidR="00577684" w:rsidRPr="00AF199F">
        <w:rPr>
          <w:color w:val="8064A2"/>
          <w:sz w:val="22"/>
          <w:szCs w:val="22"/>
        </w:rPr>
        <w:t xml:space="preserve"> has varied</w:t>
      </w:r>
      <w:r w:rsidR="00C510A5" w:rsidRPr="00AF199F">
        <w:rPr>
          <w:color w:val="8064A2"/>
          <w:sz w:val="22"/>
          <w:szCs w:val="22"/>
        </w:rPr>
        <w:t xml:space="preserve"> during the formula year</w:t>
      </w:r>
      <w:r w:rsidR="00577684" w:rsidRPr="00AF199F">
        <w:rPr>
          <w:color w:val="8064A2"/>
          <w:sz w:val="22"/>
          <w:szCs w:val="22"/>
        </w:rPr>
        <w:t>.</w:t>
      </w:r>
    </w:p>
    <w:p w:rsidR="0094775B" w:rsidRPr="009008CC" w:rsidRDefault="0094775B" w:rsidP="00E84004">
      <w:pPr>
        <w:tabs>
          <w:tab w:val="left" w:pos="142"/>
        </w:tabs>
        <w:ind w:left="-567" w:right="-312"/>
        <w:rPr>
          <w:color w:val="0070C0"/>
        </w:rPr>
      </w:pPr>
    </w:p>
    <w:p w:rsidR="00D52A5C" w:rsidRPr="00AF199F" w:rsidRDefault="005D7F6E" w:rsidP="00AF199F">
      <w:pPr>
        <w:pStyle w:val="Heading3"/>
        <w:pBdr>
          <w:top w:val="single" w:sz="4" w:space="3" w:color="8064A2"/>
          <w:bottom w:val="single" w:sz="4" w:space="10" w:color="8064A2"/>
        </w:pBdr>
        <w:tabs>
          <w:tab w:val="left" w:pos="142"/>
        </w:tabs>
        <w:ind w:left="-567" w:right="-312"/>
        <w:rPr>
          <w:color w:val="8064A2"/>
        </w:rPr>
      </w:pPr>
      <w:r w:rsidRPr="00AF199F">
        <w:rPr>
          <w:color w:val="8064A2"/>
        </w:rPr>
        <w:t>Step 3</w:t>
      </w:r>
      <w:r w:rsidR="00B14568" w:rsidRPr="00AF199F">
        <w:rPr>
          <w:color w:val="8064A2"/>
        </w:rPr>
        <w:t>:</w:t>
      </w:r>
      <w:r w:rsidRPr="00AF199F">
        <w:rPr>
          <w:color w:val="8064A2"/>
        </w:rPr>
        <w:t xml:space="preserve"> </w:t>
      </w:r>
      <w:r w:rsidR="0021749A" w:rsidRPr="00AF199F">
        <w:rPr>
          <w:color w:val="8064A2"/>
        </w:rPr>
        <w:t xml:space="preserve">Determining the volumes that attract the SO Commodity </w:t>
      </w:r>
      <w:r w:rsidR="000214BE" w:rsidRPr="00D33BBE">
        <w:rPr>
          <w:color w:val="8064A2"/>
        </w:rPr>
        <w:t>charge</w:t>
      </w:r>
      <w:r w:rsidR="0021749A" w:rsidRPr="00AF199F">
        <w:rPr>
          <w:color w:val="8064A2"/>
        </w:rPr>
        <w:t xml:space="preserve"> </w:t>
      </w:r>
    </w:p>
    <w:p w:rsidR="00D52A5C" w:rsidRDefault="00D52A5C" w:rsidP="00E84004">
      <w:pPr>
        <w:tabs>
          <w:tab w:val="left" w:pos="142"/>
        </w:tabs>
        <w:ind w:left="-567" w:right="-312"/>
        <w:rPr>
          <w:b/>
          <w:sz w:val="22"/>
          <w:szCs w:val="22"/>
        </w:rPr>
      </w:pPr>
    </w:p>
    <w:p w:rsidR="00C73465" w:rsidRDefault="00C73465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The volumes that attract the SO Commodity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 xml:space="preserve"> are those forecast e</w:t>
      </w:r>
      <w:r w:rsidR="008D618B" w:rsidRPr="00D52A5C">
        <w:rPr>
          <w:sz w:val="22"/>
          <w:szCs w:val="22"/>
        </w:rPr>
        <w:t xml:space="preserve">ntry and </w:t>
      </w:r>
      <w:r>
        <w:rPr>
          <w:sz w:val="22"/>
          <w:szCs w:val="22"/>
        </w:rPr>
        <w:t>e</w:t>
      </w:r>
      <w:r w:rsidRPr="00D52A5C">
        <w:rPr>
          <w:sz w:val="22"/>
          <w:szCs w:val="22"/>
        </w:rPr>
        <w:t xml:space="preserve">xit </w:t>
      </w:r>
      <w:r>
        <w:rPr>
          <w:sz w:val="22"/>
          <w:szCs w:val="22"/>
        </w:rPr>
        <w:t>f</w:t>
      </w:r>
      <w:r w:rsidRPr="00D52A5C">
        <w:rPr>
          <w:sz w:val="22"/>
          <w:szCs w:val="22"/>
        </w:rPr>
        <w:t xml:space="preserve">lows </w:t>
      </w:r>
      <w:r w:rsidR="00B276B1">
        <w:rPr>
          <w:sz w:val="22"/>
          <w:szCs w:val="22"/>
        </w:rPr>
        <w:t>excluding</w:t>
      </w:r>
      <w:r w:rsidRPr="00D52A5C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D52A5C">
        <w:rPr>
          <w:sz w:val="22"/>
          <w:szCs w:val="22"/>
        </w:rPr>
        <w:t xml:space="preserve">torage </w:t>
      </w:r>
      <w:r w:rsidR="008D618B" w:rsidRPr="00D52A5C">
        <w:rPr>
          <w:sz w:val="22"/>
          <w:szCs w:val="22"/>
        </w:rPr>
        <w:t>flows</w:t>
      </w:r>
      <w:r>
        <w:rPr>
          <w:sz w:val="22"/>
          <w:szCs w:val="22"/>
        </w:rPr>
        <w:t>,</w:t>
      </w:r>
      <w:r w:rsidR="008D618B" w:rsidRPr="00D52A5C">
        <w:rPr>
          <w:sz w:val="22"/>
          <w:szCs w:val="22"/>
        </w:rPr>
        <w:t xml:space="preserve"> </w:t>
      </w:r>
      <w:r w:rsidR="00571D04">
        <w:rPr>
          <w:sz w:val="22"/>
          <w:szCs w:val="22"/>
        </w:rPr>
        <w:t xml:space="preserve">net </w:t>
      </w:r>
      <w:r w:rsidR="008D618B" w:rsidRPr="00D52A5C">
        <w:rPr>
          <w:sz w:val="22"/>
          <w:szCs w:val="22"/>
        </w:rPr>
        <w:t>of shorthaul volumes</w:t>
      </w:r>
      <w:r>
        <w:rPr>
          <w:sz w:val="22"/>
          <w:szCs w:val="22"/>
        </w:rPr>
        <w:t xml:space="preserve"> i.e. the volumes that shippers have nominated to attract the </w:t>
      </w:r>
      <w:r w:rsidR="009A2CDE">
        <w:rPr>
          <w:sz w:val="22"/>
          <w:szCs w:val="22"/>
        </w:rPr>
        <w:t xml:space="preserve">Optional </w:t>
      </w:r>
      <w:r>
        <w:rPr>
          <w:sz w:val="22"/>
          <w:szCs w:val="22"/>
        </w:rPr>
        <w:t xml:space="preserve">Commodity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>.</w:t>
      </w:r>
      <w:r w:rsidR="00D45C3E">
        <w:rPr>
          <w:sz w:val="22"/>
          <w:szCs w:val="22"/>
        </w:rPr>
        <w:t xml:space="preserve"> Shippers can nominate to go </w:t>
      </w:r>
      <w:r w:rsidR="00944163">
        <w:rPr>
          <w:sz w:val="22"/>
          <w:szCs w:val="22"/>
        </w:rPr>
        <w:t>on</w:t>
      </w:r>
      <w:r w:rsidR="00D45C3E">
        <w:rPr>
          <w:sz w:val="22"/>
          <w:szCs w:val="22"/>
        </w:rPr>
        <w:t xml:space="preserve">to </w:t>
      </w:r>
      <w:r w:rsidR="009A2CDE">
        <w:rPr>
          <w:sz w:val="22"/>
          <w:szCs w:val="22"/>
        </w:rPr>
        <w:t>s</w:t>
      </w:r>
      <w:r w:rsidR="00D45C3E">
        <w:rPr>
          <w:sz w:val="22"/>
          <w:szCs w:val="22"/>
        </w:rPr>
        <w:t>horthaul at any time throughout the year.</w:t>
      </w:r>
    </w:p>
    <w:p w:rsidR="00C73465" w:rsidRDefault="00C73465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8D618B" w:rsidRPr="00AF199F" w:rsidRDefault="004A5C20" w:rsidP="00E84004">
      <w:pPr>
        <w:tabs>
          <w:tab w:val="left" w:pos="142"/>
        </w:tabs>
        <w:ind w:left="-567" w:right="-312"/>
        <w:rPr>
          <w:color w:val="8064A2"/>
          <w:sz w:val="22"/>
          <w:szCs w:val="22"/>
        </w:rPr>
      </w:pPr>
      <w:r w:rsidRPr="00AF199F">
        <w:rPr>
          <w:b/>
          <w:color w:val="8064A2"/>
          <w:sz w:val="22"/>
          <w:szCs w:val="22"/>
        </w:rPr>
        <w:t>Table 7</w:t>
      </w:r>
      <w:r w:rsidR="00F235A6" w:rsidRPr="00AF199F">
        <w:rPr>
          <w:color w:val="8064A2"/>
          <w:sz w:val="22"/>
          <w:szCs w:val="22"/>
        </w:rPr>
        <w:t xml:space="preserve"> </w:t>
      </w:r>
      <w:r w:rsidR="00C73465" w:rsidRPr="00AF199F">
        <w:rPr>
          <w:color w:val="8064A2"/>
          <w:sz w:val="22"/>
          <w:szCs w:val="22"/>
        </w:rPr>
        <w:t xml:space="preserve">shows the volumes used for the prices set </w:t>
      </w:r>
      <w:r w:rsidR="009A0B26" w:rsidRPr="00AF199F">
        <w:rPr>
          <w:color w:val="8064A2"/>
          <w:sz w:val="22"/>
          <w:szCs w:val="22"/>
        </w:rPr>
        <w:t xml:space="preserve">for </w:t>
      </w:r>
      <w:r w:rsidR="00C510A5" w:rsidRPr="00AF199F">
        <w:rPr>
          <w:color w:val="8064A2"/>
          <w:sz w:val="22"/>
          <w:szCs w:val="22"/>
        </w:rPr>
        <w:t xml:space="preserve">the </w:t>
      </w:r>
      <w:r w:rsidR="0002628D" w:rsidRPr="00AF199F">
        <w:rPr>
          <w:color w:val="8064A2"/>
          <w:sz w:val="22"/>
          <w:szCs w:val="22"/>
        </w:rPr>
        <w:t>formula</w:t>
      </w:r>
      <w:r w:rsidR="00C510A5" w:rsidRPr="00AF199F">
        <w:rPr>
          <w:color w:val="8064A2"/>
          <w:sz w:val="22"/>
          <w:szCs w:val="22"/>
        </w:rPr>
        <w:t xml:space="preserve"> year</w:t>
      </w:r>
      <w:r w:rsidR="00C73465" w:rsidRPr="00AF199F">
        <w:rPr>
          <w:color w:val="8064A2"/>
          <w:sz w:val="22"/>
          <w:szCs w:val="22"/>
        </w:rPr>
        <w:t>.</w:t>
      </w:r>
    </w:p>
    <w:p w:rsidR="00E010B8" w:rsidRDefault="00E010B8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571D04" w:rsidRDefault="00741381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The f</w:t>
      </w:r>
      <w:r w:rsidR="00571D04" w:rsidRPr="008574BC">
        <w:rPr>
          <w:sz w:val="22"/>
          <w:szCs w:val="22"/>
        </w:rPr>
        <w:t>low data is updated as part of the demand forecasts pub</w:t>
      </w:r>
      <w:r>
        <w:rPr>
          <w:sz w:val="22"/>
          <w:szCs w:val="22"/>
        </w:rPr>
        <w:t>lished in mid-May.  Therefore, s</w:t>
      </w:r>
      <w:r w:rsidR="00571D04" w:rsidRPr="008574BC">
        <w:rPr>
          <w:sz w:val="22"/>
          <w:szCs w:val="22"/>
        </w:rPr>
        <w:t xml:space="preserve">hippers </w:t>
      </w:r>
      <w:r w:rsidR="006912AC">
        <w:rPr>
          <w:sz w:val="22"/>
          <w:szCs w:val="22"/>
        </w:rPr>
        <w:t xml:space="preserve">may </w:t>
      </w:r>
      <w:r w:rsidR="00571D04" w:rsidRPr="008574BC">
        <w:rPr>
          <w:sz w:val="22"/>
          <w:szCs w:val="22"/>
        </w:rPr>
        <w:t xml:space="preserve">observe different flow assumptions for </w:t>
      </w:r>
      <w:r w:rsidR="005D7F6E">
        <w:rPr>
          <w:sz w:val="22"/>
          <w:szCs w:val="22"/>
        </w:rPr>
        <w:t>the</w:t>
      </w:r>
      <w:r w:rsidR="00571D04" w:rsidRPr="008574BC">
        <w:rPr>
          <w:sz w:val="22"/>
          <w:szCs w:val="22"/>
        </w:rPr>
        <w:t xml:space="preserve"> final notice of the October price change.</w:t>
      </w:r>
    </w:p>
    <w:p w:rsidR="00571D04" w:rsidRPr="00D52A5C" w:rsidRDefault="00571D04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D52A5C" w:rsidRPr="00AF199F" w:rsidRDefault="005D7F6E" w:rsidP="00AF199F">
      <w:pPr>
        <w:pStyle w:val="Heading3"/>
        <w:pBdr>
          <w:top w:val="single" w:sz="4" w:space="3" w:color="8064A2"/>
          <w:bottom w:val="single" w:sz="4" w:space="10" w:color="8064A2"/>
        </w:pBdr>
        <w:tabs>
          <w:tab w:val="left" w:pos="142"/>
        </w:tabs>
        <w:ind w:left="-567" w:right="-312"/>
        <w:rPr>
          <w:color w:val="8064A2"/>
        </w:rPr>
      </w:pPr>
      <w:r w:rsidRPr="00AF199F">
        <w:rPr>
          <w:color w:val="8064A2"/>
        </w:rPr>
        <w:lastRenderedPageBreak/>
        <w:t>Step 4</w:t>
      </w:r>
      <w:r w:rsidR="00B14568" w:rsidRPr="00AF199F">
        <w:rPr>
          <w:color w:val="8064A2"/>
        </w:rPr>
        <w:t>:</w:t>
      </w:r>
      <w:r w:rsidRPr="00AF199F">
        <w:rPr>
          <w:color w:val="8064A2"/>
        </w:rPr>
        <w:t xml:space="preserve"> </w:t>
      </w:r>
      <w:r w:rsidR="00D52A5C" w:rsidRPr="00AF199F">
        <w:rPr>
          <w:color w:val="8064A2"/>
        </w:rPr>
        <w:t xml:space="preserve">Calculation of the SO Commodity </w:t>
      </w:r>
      <w:r w:rsidR="000214BE" w:rsidRPr="00D33BBE">
        <w:rPr>
          <w:color w:val="8064A2"/>
        </w:rPr>
        <w:t>charge</w:t>
      </w:r>
      <w:r w:rsidR="00131537" w:rsidRPr="00AF199F">
        <w:rPr>
          <w:color w:val="8064A2"/>
        </w:rPr>
        <w:t xml:space="preserve"> </w:t>
      </w:r>
      <w:r w:rsidR="009751BB" w:rsidRPr="00AF199F">
        <w:rPr>
          <w:color w:val="8064A2"/>
        </w:rPr>
        <w:t>rate</w:t>
      </w:r>
    </w:p>
    <w:p w:rsidR="00D52A5C" w:rsidRDefault="00D52A5C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8D618B" w:rsidRPr="008574BC" w:rsidRDefault="008D618B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8574BC">
        <w:rPr>
          <w:sz w:val="22"/>
          <w:szCs w:val="22"/>
        </w:rPr>
        <w:t xml:space="preserve">The SO Commodity </w:t>
      </w:r>
      <w:r w:rsidR="000214BE">
        <w:rPr>
          <w:sz w:val="22"/>
          <w:szCs w:val="22"/>
        </w:rPr>
        <w:t>charge</w:t>
      </w:r>
      <w:r w:rsidRPr="008574BC">
        <w:rPr>
          <w:sz w:val="22"/>
          <w:szCs w:val="22"/>
        </w:rPr>
        <w:t xml:space="preserve"> is collected from </w:t>
      </w:r>
      <w:r w:rsidR="00B276B1">
        <w:rPr>
          <w:sz w:val="22"/>
          <w:szCs w:val="22"/>
        </w:rPr>
        <w:t xml:space="preserve">non-storage </w:t>
      </w:r>
      <w:r w:rsidR="00571D04">
        <w:rPr>
          <w:sz w:val="22"/>
          <w:szCs w:val="22"/>
        </w:rPr>
        <w:t>e</w:t>
      </w:r>
      <w:r w:rsidRPr="008574BC">
        <w:rPr>
          <w:sz w:val="22"/>
          <w:szCs w:val="22"/>
        </w:rPr>
        <w:t xml:space="preserve">ntry and </w:t>
      </w:r>
      <w:r w:rsidR="00571D04">
        <w:rPr>
          <w:sz w:val="22"/>
          <w:szCs w:val="22"/>
        </w:rPr>
        <w:t>e</w:t>
      </w:r>
      <w:r w:rsidRPr="008574BC">
        <w:rPr>
          <w:sz w:val="22"/>
          <w:szCs w:val="22"/>
        </w:rPr>
        <w:t>xit flows</w:t>
      </w:r>
      <w:r w:rsidR="00B276B1">
        <w:rPr>
          <w:sz w:val="22"/>
          <w:szCs w:val="22"/>
        </w:rPr>
        <w:t xml:space="preserve"> excluding shorthaul flows</w:t>
      </w:r>
      <w:r w:rsidR="0054063B" w:rsidRPr="008574BC">
        <w:rPr>
          <w:sz w:val="22"/>
          <w:szCs w:val="22"/>
        </w:rPr>
        <w:t>,</w:t>
      </w:r>
      <w:r w:rsidRPr="008574BC">
        <w:rPr>
          <w:sz w:val="22"/>
          <w:szCs w:val="22"/>
        </w:rPr>
        <w:t xml:space="preserve"> </w:t>
      </w:r>
      <w:r w:rsidR="0054063B" w:rsidRPr="008574BC">
        <w:rPr>
          <w:sz w:val="22"/>
          <w:szCs w:val="22"/>
        </w:rPr>
        <w:t>t</w:t>
      </w:r>
      <w:r w:rsidRPr="008574BC">
        <w:rPr>
          <w:sz w:val="22"/>
          <w:szCs w:val="22"/>
        </w:rPr>
        <w:t xml:space="preserve">herefore to calculate the </w:t>
      </w:r>
      <w:r w:rsidR="005833EB">
        <w:rPr>
          <w:sz w:val="22"/>
          <w:szCs w:val="22"/>
        </w:rPr>
        <w:t>charge</w:t>
      </w:r>
      <w:r w:rsidR="009751BB">
        <w:rPr>
          <w:sz w:val="22"/>
          <w:szCs w:val="22"/>
        </w:rPr>
        <w:t xml:space="preserve"> rate</w:t>
      </w:r>
      <w:r w:rsidR="00E22713" w:rsidRPr="008574BC">
        <w:rPr>
          <w:sz w:val="22"/>
          <w:szCs w:val="22"/>
        </w:rPr>
        <w:t xml:space="preserve"> </w:t>
      </w:r>
      <w:r w:rsidR="00571D04">
        <w:rPr>
          <w:sz w:val="22"/>
          <w:szCs w:val="22"/>
        </w:rPr>
        <w:t>to apply from</w:t>
      </w:r>
      <w:r w:rsidR="00571D04" w:rsidRPr="008574BC">
        <w:rPr>
          <w:sz w:val="22"/>
          <w:szCs w:val="22"/>
        </w:rPr>
        <w:t xml:space="preserve"> </w:t>
      </w:r>
      <w:r w:rsidR="00E22713" w:rsidRPr="008574BC">
        <w:rPr>
          <w:sz w:val="22"/>
          <w:szCs w:val="22"/>
        </w:rPr>
        <w:t>April</w:t>
      </w:r>
      <w:r w:rsidRPr="008574BC">
        <w:rPr>
          <w:sz w:val="22"/>
          <w:szCs w:val="22"/>
        </w:rPr>
        <w:t xml:space="preserve"> the following formula</w:t>
      </w:r>
      <w:r w:rsidR="00571D04">
        <w:rPr>
          <w:sz w:val="22"/>
          <w:szCs w:val="22"/>
        </w:rPr>
        <w:t xml:space="preserve"> </w:t>
      </w:r>
      <w:r w:rsidR="00D22B33">
        <w:rPr>
          <w:sz w:val="22"/>
          <w:szCs w:val="22"/>
        </w:rPr>
        <w:t>i</w:t>
      </w:r>
      <w:r w:rsidR="00571D04">
        <w:rPr>
          <w:sz w:val="22"/>
          <w:szCs w:val="22"/>
        </w:rPr>
        <w:t>s used</w:t>
      </w:r>
      <w:r w:rsidR="00B14568">
        <w:rPr>
          <w:sz w:val="22"/>
          <w:szCs w:val="22"/>
        </w:rPr>
        <w:t>:</w:t>
      </w:r>
    </w:p>
    <w:p w:rsidR="00BA317B" w:rsidRPr="008574BC" w:rsidRDefault="00BA317B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BA317B" w:rsidRPr="00AF199F" w:rsidRDefault="009A2CDE" w:rsidP="009008CC">
      <w:pPr>
        <w:tabs>
          <w:tab w:val="left" w:pos="142"/>
        </w:tabs>
        <w:ind w:left="-567" w:right="-312"/>
        <w:jc w:val="center"/>
        <w:rPr>
          <w:color w:val="8064A2"/>
          <w:sz w:val="22"/>
          <w:szCs w:val="22"/>
        </w:rPr>
      </w:pPr>
      <w:r w:rsidRPr="00AF199F">
        <w:rPr>
          <w:color w:val="8064A2"/>
          <w:position w:val="-28"/>
          <w:sz w:val="22"/>
          <w:szCs w:val="22"/>
        </w:rPr>
        <w:object w:dxaOrig="5560" w:dyaOrig="660">
          <v:shape id="_x0000_i1026" type="#_x0000_t75" style="width:278.25pt;height:33pt" o:ole="">
            <v:imagedata r:id="rId12" o:title=""/>
          </v:shape>
          <o:OLEObject Type="Embed" ProgID="Equation.3" ShapeID="_x0000_i1026" DrawAspect="Content" ObjectID="_1626170527" r:id="rId13"/>
        </w:object>
      </w:r>
    </w:p>
    <w:p w:rsidR="009A53B3" w:rsidRPr="008574BC" w:rsidRDefault="009A53B3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A53B3" w:rsidRPr="00AF199F" w:rsidRDefault="00D52A5C" w:rsidP="009008CC">
      <w:pPr>
        <w:pStyle w:val="Heading4"/>
        <w:tabs>
          <w:tab w:val="left" w:pos="142"/>
        </w:tabs>
        <w:ind w:left="-567" w:right="-312" w:firstLine="0"/>
        <w:rPr>
          <w:color w:val="8064A2"/>
        </w:rPr>
      </w:pPr>
      <w:r w:rsidRPr="00AF199F">
        <w:rPr>
          <w:color w:val="8064A2"/>
        </w:rPr>
        <w:t>Mid-year u</w:t>
      </w:r>
      <w:r w:rsidR="009A53B3" w:rsidRPr="00AF199F">
        <w:rPr>
          <w:color w:val="8064A2"/>
        </w:rPr>
        <w:t xml:space="preserve">pdates to the SO Commodity </w:t>
      </w:r>
      <w:r w:rsidR="000214BE" w:rsidRPr="00D33BBE">
        <w:rPr>
          <w:color w:val="8064A2"/>
        </w:rPr>
        <w:t>charge</w:t>
      </w:r>
    </w:p>
    <w:p w:rsidR="0039624C" w:rsidRPr="0039624C" w:rsidRDefault="0039624C" w:rsidP="00E84004">
      <w:pPr>
        <w:tabs>
          <w:tab w:val="left" w:pos="142"/>
        </w:tabs>
        <w:ind w:left="-567" w:right="-312"/>
        <w:rPr>
          <w:b/>
          <w:sz w:val="22"/>
          <w:szCs w:val="22"/>
        </w:rPr>
      </w:pPr>
    </w:p>
    <w:p w:rsidR="009A53B3" w:rsidRPr="0039624C" w:rsidRDefault="009A53B3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39624C">
        <w:rPr>
          <w:sz w:val="22"/>
          <w:szCs w:val="22"/>
        </w:rPr>
        <w:t>The commercial framework allows the</w:t>
      </w:r>
      <w:r w:rsidR="00571D04">
        <w:rPr>
          <w:sz w:val="22"/>
          <w:szCs w:val="22"/>
        </w:rPr>
        <w:t xml:space="preserve"> SO Commodity </w:t>
      </w:r>
      <w:r w:rsidR="000214BE">
        <w:rPr>
          <w:sz w:val="22"/>
          <w:szCs w:val="22"/>
        </w:rPr>
        <w:t>charge</w:t>
      </w:r>
      <w:r w:rsidR="00571D04">
        <w:rPr>
          <w:sz w:val="22"/>
          <w:szCs w:val="22"/>
        </w:rPr>
        <w:t xml:space="preserve"> </w:t>
      </w:r>
      <w:r w:rsidRPr="0039624C">
        <w:rPr>
          <w:sz w:val="22"/>
          <w:szCs w:val="22"/>
        </w:rPr>
        <w:t>to be revised in October.  Further updates are permitted in exceptional circumstances.</w:t>
      </w:r>
    </w:p>
    <w:p w:rsidR="009A53B3" w:rsidRPr="0039624C" w:rsidRDefault="009A53B3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4E63E3" w:rsidRDefault="009A53B3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39624C">
        <w:rPr>
          <w:sz w:val="22"/>
          <w:szCs w:val="22"/>
        </w:rPr>
        <w:t>When making a mid-year price update, the</w:t>
      </w:r>
      <w:r w:rsidR="00571D04">
        <w:rPr>
          <w:sz w:val="22"/>
          <w:szCs w:val="22"/>
        </w:rPr>
        <w:t xml:space="preserve"> actual</w:t>
      </w:r>
      <w:r w:rsidRPr="0039624C">
        <w:rPr>
          <w:sz w:val="22"/>
          <w:szCs w:val="22"/>
        </w:rPr>
        <w:t xml:space="preserve"> revenue collected during the year to date is deducted from the revised </w:t>
      </w:r>
      <w:r w:rsidR="00343DA4">
        <w:rPr>
          <w:sz w:val="22"/>
          <w:szCs w:val="22"/>
        </w:rPr>
        <w:t xml:space="preserve">forecast </w:t>
      </w:r>
      <w:r w:rsidRPr="0039624C">
        <w:rPr>
          <w:sz w:val="22"/>
          <w:szCs w:val="22"/>
        </w:rPr>
        <w:t>annual revenue</w:t>
      </w:r>
      <w:r w:rsidR="00741381">
        <w:rPr>
          <w:sz w:val="22"/>
          <w:szCs w:val="22"/>
        </w:rPr>
        <w:t>,</w:t>
      </w:r>
      <w:r w:rsidR="00571D04">
        <w:rPr>
          <w:sz w:val="22"/>
          <w:szCs w:val="22"/>
        </w:rPr>
        <w:t xml:space="preserve"> and the remaining flows for the year considered</w:t>
      </w:r>
      <w:r w:rsidR="004E63E3">
        <w:rPr>
          <w:sz w:val="22"/>
          <w:szCs w:val="22"/>
        </w:rPr>
        <w:t>.</w:t>
      </w:r>
    </w:p>
    <w:p w:rsidR="00741381" w:rsidRDefault="00741381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A53B3" w:rsidRPr="0039624C" w:rsidRDefault="009A53B3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39624C">
        <w:rPr>
          <w:sz w:val="22"/>
          <w:szCs w:val="22"/>
        </w:rPr>
        <w:t xml:space="preserve">For example, </w:t>
      </w:r>
      <w:r w:rsidR="00571D04">
        <w:rPr>
          <w:sz w:val="22"/>
          <w:szCs w:val="22"/>
        </w:rPr>
        <w:t xml:space="preserve">to update prices in </w:t>
      </w:r>
      <w:r w:rsidRPr="0039624C">
        <w:rPr>
          <w:sz w:val="22"/>
          <w:szCs w:val="22"/>
        </w:rPr>
        <w:t xml:space="preserve">October the following formula </w:t>
      </w:r>
      <w:r w:rsidR="007E0186">
        <w:rPr>
          <w:sz w:val="22"/>
          <w:szCs w:val="22"/>
        </w:rPr>
        <w:t>i</w:t>
      </w:r>
      <w:r w:rsidR="00CE1DA2">
        <w:rPr>
          <w:sz w:val="22"/>
          <w:szCs w:val="22"/>
        </w:rPr>
        <w:t>s</w:t>
      </w:r>
      <w:r w:rsidRPr="0039624C">
        <w:rPr>
          <w:sz w:val="22"/>
          <w:szCs w:val="22"/>
        </w:rPr>
        <w:t xml:space="preserve"> </w:t>
      </w:r>
      <w:r w:rsidR="004E63E3">
        <w:rPr>
          <w:sz w:val="22"/>
          <w:szCs w:val="22"/>
        </w:rPr>
        <w:t>applied</w:t>
      </w:r>
      <w:r w:rsidRPr="0039624C">
        <w:rPr>
          <w:sz w:val="22"/>
          <w:szCs w:val="22"/>
        </w:rPr>
        <w:t>:</w:t>
      </w:r>
    </w:p>
    <w:p w:rsidR="009A53B3" w:rsidRPr="0039624C" w:rsidRDefault="009A53B3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F7F39" w:rsidRPr="00C12690" w:rsidRDefault="00B14568" w:rsidP="009008CC">
      <w:pPr>
        <w:tabs>
          <w:tab w:val="left" w:pos="142"/>
        </w:tabs>
        <w:ind w:left="-567" w:right="-312"/>
        <w:jc w:val="center"/>
        <w:rPr>
          <w:sz w:val="24"/>
          <w:szCs w:val="24"/>
        </w:rPr>
      </w:pPr>
      <w:r w:rsidRPr="00343DA4">
        <w:rPr>
          <w:position w:val="-26"/>
          <w:sz w:val="22"/>
          <w:szCs w:val="22"/>
        </w:rPr>
        <w:object w:dxaOrig="7780" w:dyaOrig="620">
          <v:shape id="_x0000_i1027" type="#_x0000_t75" style="width:389.25pt;height:30.75pt" o:ole="">
            <v:imagedata r:id="rId14" o:title=""/>
          </v:shape>
          <o:OLEObject Type="Embed" ProgID="Equation.3" ShapeID="_x0000_i1027" DrawAspect="Content" ObjectID="_1626170528" r:id="rId15"/>
        </w:object>
      </w:r>
    </w:p>
    <w:p w:rsidR="0002628D" w:rsidRDefault="0002628D" w:rsidP="00E84004">
      <w:pPr>
        <w:tabs>
          <w:tab w:val="left" w:pos="142"/>
        </w:tabs>
        <w:ind w:left="-567" w:right="-31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30229" w:rsidRDefault="00430229" w:rsidP="00E84004">
      <w:pPr>
        <w:tabs>
          <w:tab w:val="left" w:pos="142"/>
        </w:tabs>
        <w:ind w:left="-567" w:right="-312"/>
        <w:rPr>
          <w:b/>
          <w:sz w:val="22"/>
          <w:szCs w:val="22"/>
        </w:rPr>
      </w:pPr>
    </w:p>
    <w:p w:rsidR="00DC67D3" w:rsidRPr="00AF199F" w:rsidRDefault="00DC67D3" w:rsidP="009008CC">
      <w:pPr>
        <w:pStyle w:val="Heading4"/>
        <w:tabs>
          <w:tab w:val="left" w:pos="142"/>
        </w:tabs>
        <w:ind w:left="-567" w:right="-312" w:firstLine="0"/>
        <w:rPr>
          <w:color w:val="8064A2"/>
        </w:rPr>
      </w:pPr>
      <w:r w:rsidRPr="00AF199F">
        <w:rPr>
          <w:color w:val="8064A2"/>
        </w:rPr>
        <w:t xml:space="preserve">Forecast revenue recovery through SO Commodity </w:t>
      </w:r>
      <w:r w:rsidR="000214BE" w:rsidRPr="00D33BBE">
        <w:rPr>
          <w:color w:val="8064A2"/>
        </w:rPr>
        <w:t>charge</w:t>
      </w:r>
    </w:p>
    <w:p w:rsidR="00DC67D3" w:rsidRPr="008574BC" w:rsidRDefault="00DC67D3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DC67D3" w:rsidRDefault="00F235A6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AF199F">
        <w:rPr>
          <w:b/>
          <w:color w:val="8064A2"/>
          <w:sz w:val="22"/>
          <w:szCs w:val="22"/>
        </w:rPr>
        <w:t>Table 8</w:t>
      </w:r>
      <w:r w:rsidR="00DC67D3" w:rsidRPr="00AF199F">
        <w:rPr>
          <w:color w:val="8064A2"/>
          <w:sz w:val="22"/>
          <w:szCs w:val="22"/>
        </w:rPr>
        <w:t xml:space="preserve"> shows the forecast monthly flows </w:t>
      </w:r>
      <w:r w:rsidR="00B276B1" w:rsidRPr="00AF199F">
        <w:rPr>
          <w:color w:val="8064A2"/>
          <w:sz w:val="22"/>
          <w:szCs w:val="22"/>
        </w:rPr>
        <w:t xml:space="preserve">that </w:t>
      </w:r>
      <w:r w:rsidR="00DC67D3" w:rsidRPr="00AF199F">
        <w:rPr>
          <w:color w:val="8064A2"/>
          <w:sz w:val="22"/>
          <w:szCs w:val="22"/>
        </w:rPr>
        <w:t xml:space="preserve">will attract the SO Commodity </w:t>
      </w:r>
      <w:r w:rsidR="000214BE" w:rsidRPr="00D33BBE">
        <w:rPr>
          <w:color w:val="8064A2"/>
          <w:sz w:val="22"/>
          <w:szCs w:val="22"/>
        </w:rPr>
        <w:t>charge</w:t>
      </w:r>
      <w:r w:rsidR="00DC67D3" w:rsidRPr="00AF199F">
        <w:rPr>
          <w:color w:val="8064A2"/>
          <w:sz w:val="22"/>
          <w:szCs w:val="22"/>
        </w:rPr>
        <w:t xml:space="preserve"> and the expected revenue from this </w:t>
      </w:r>
      <w:r w:rsidR="005833EB" w:rsidRPr="00D33BBE">
        <w:rPr>
          <w:color w:val="8064A2"/>
          <w:sz w:val="22"/>
          <w:szCs w:val="22"/>
        </w:rPr>
        <w:t>charge</w:t>
      </w:r>
      <w:r w:rsidR="00DC67D3" w:rsidRPr="00AF199F">
        <w:rPr>
          <w:color w:val="8064A2"/>
          <w:sz w:val="22"/>
          <w:szCs w:val="22"/>
        </w:rPr>
        <w:t>.</w:t>
      </w:r>
      <w:r w:rsidR="00DC67D3">
        <w:rPr>
          <w:sz w:val="22"/>
          <w:szCs w:val="22"/>
        </w:rPr>
        <w:t xml:space="preserve">  </w:t>
      </w:r>
      <w:r w:rsidR="00DC67D3" w:rsidRPr="008574BC">
        <w:rPr>
          <w:sz w:val="22"/>
          <w:szCs w:val="22"/>
        </w:rPr>
        <w:t xml:space="preserve">Data shown in </w:t>
      </w:r>
      <w:r w:rsidR="00DC67D3" w:rsidRPr="009008CC">
        <w:rPr>
          <w:color w:val="FF0000"/>
          <w:sz w:val="22"/>
          <w:szCs w:val="22"/>
        </w:rPr>
        <w:t>red</w:t>
      </w:r>
      <w:r w:rsidR="00DC67D3" w:rsidRPr="008574BC">
        <w:rPr>
          <w:sz w:val="22"/>
          <w:szCs w:val="22"/>
        </w:rPr>
        <w:t xml:space="preserve"> is based on actuals, other data is forecast.</w:t>
      </w:r>
    </w:p>
    <w:p w:rsidR="00DC67D3" w:rsidRPr="000C22A9" w:rsidRDefault="00DC67D3" w:rsidP="00E84004">
      <w:pPr>
        <w:tabs>
          <w:tab w:val="left" w:pos="142"/>
        </w:tabs>
        <w:ind w:left="-567" w:right="-312"/>
        <w:rPr>
          <w:sz w:val="24"/>
          <w:szCs w:val="24"/>
        </w:rPr>
      </w:pPr>
    </w:p>
    <w:p w:rsidR="00550607" w:rsidRPr="00F235A6" w:rsidRDefault="00E10548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C</w:t>
      </w:r>
      <w:r w:rsidR="000214BE">
        <w:rPr>
          <w:sz w:val="22"/>
          <w:szCs w:val="22"/>
        </w:rPr>
        <w:t>harge</w:t>
      </w:r>
      <w:r w:rsidR="00F235A6">
        <w:rPr>
          <w:sz w:val="22"/>
          <w:szCs w:val="22"/>
        </w:rPr>
        <w:t xml:space="preserve">s are always set to recover </w:t>
      </w:r>
      <w:r w:rsidR="005601BA">
        <w:rPr>
          <w:sz w:val="22"/>
          <w:szCs w:val="22"/>
        </w:rPr>
        <w:t xml:space="preserve">the exact amount of </w:t>
      </w:r>
      <w:r w:rsidR="00F235A6">
        <w:rPr>
          <w:sz w:val="22"/>
          <w:szCs w:val="22"/>
        </w:rPr>
        <w:t>allowed revenue for the formula year</w:t>
      </w:r>
      <w:r w:rsidR="00E331E7">
        <w:rPr>
          <w:sz w:val="22"/>
          <w:szCs w:val="22"/>
        </w:rPr>
        <w:t>,</w:t>
      </w:r>
      <w:r w:rsidR="00F235A6">
        <w:rPr>
          <w:sz w:val="22"/>
          <w:szCs w:val="22"/>
        </w:rPr>
        <w:t xml:space="preserve"> </w:t>
      </w:r>
      <w:r w:rsidR="00E331E7">
        <w:rPr>
          <w:sz w:val="22"/>
          <w:szCs w:val="22"/>
        </w:rPr>
        <w:t>h</w:t>
      </w:r>
      <w:r w:rsidR="005601BA">
        <w:rPr>
          <w:sz w:val="22"/>
          <w:szCs w:val="22"/>
        </w:rPr>
        <w:t>owever</w:t>
      </w:r>
      <w:r w:rsidR="00343DA4">
        <w:rPr>
          <w:sz w:val="22"/>
          <w:szCs w:val="22"/>
        </w:rPr>
        <w:t>,</w:t>
      </w:r>
      <w:r w:rsidR="005601BA">
        <w:rPr>
          <w:sz w:val="22"/>
          <w:szCs w:val="22"/>
        </w:rPr>
        <w:t xml:space="preserve"> as costs and volumes are not fixed and are subject to variability</w:t>
      </w:r>
      <w:r w:rsidR="00343DA4">
        <w:rPr>
          <w:sz w:val="22"/>
          <w:szCs w:val="22"/>
        </w:rPr>
        <w:t>,</w:t>
      </w:r>
      <w:r w:rsidR="005601BA">
        <w:rPr>
          <w:sz w:val="22"/>
          <w:szCs w:val="22"/>
        </w:rPr>
        <w:t xml:space="preserve"> a</w:t>
      </w:r>
      <w:r w:rsidR="00F235A6">
        <w:rPr>
          <w:sz w:val="22"/>
          <w:szCs w:val="22"/>
        </w:rPr>
        <w:t xml:space="preserve">ny </w:t>
      </w:r>
      <w:r w:rsidR="005601BA">
        <w:rPr>
          <w:sz w:val="22"/>
          <w:szCs w:val="22"/>
        </w:rPr>
        <w:t xml:space="preserve">forecast/actual </w:t>
      </w:r>
      <w:r w:rsidR="00F235A6">
        <w:rPr>
          <w:sz w:val="22"/>
          <w:szCs w:val="22"/>
        </w:rPr>
        <w:t xml:space="preserve">difference between allowed revenue and actual revenue </w:t>
      </w:r>
      <w:r w:rsidR="00C510A5">
        <w:rPr>
          <w:sz w:val="22"/>
          <w:szCs w:val="22"/>
        </w:rPr>
        <w:t xml:space="preserve">feeds </w:t>
      </w:r>
      <w:r w:rsidR="00F235A6">
        <w:rPr>
          <w:sz w:val="22"/>
          <w:szCs w:val="22"/>
        </w:rPr>
        <w:t xml:space="preserve">through into the </w:t>
      </w:r>
      <w:r w:rsidR="005601BA">
        <w:rPr>
          <w:sz w:val="22"/>
          <w:szCs w:val="22"/>
        </w:rPr>
        <w:t xml:space="preserve">formula </w:t>
      </w:r>
      <w:r w:rsidR="00F235A6">
        <w:rPr>
          <w:sz w:val="22"/>
          <w:szCs w:val="22"/>
        </w:rPr>
        <w:t xml:space="preserve">year </w:t>
      </w:r>
      <w:r w:rsidR="000C22A9">
        <w:rPr>
          <w:sz w:val="22"/>
          <w:szCs w:val="22"/>
        </w:rPr>
        <w:t>in two years</w:t>
      </w:r>
      <w:r w:rsidR="00003B0B">
        <w:rPr>
          <w:sz w:val="22"/>
          <w:szCs w:val="22"/>
        </w:rPr>
        <w:t>’</w:t>
      </w:r>
      <w:r w:rsidR="000C22A9">
        <w:rPr>
          <w:sz w:val="22"/>
          <w:szCs w:val="22"/>
        </w:rPr>
        <w:t xml:space="preserve"> time </w:t>
      </w:r>
      <w:r w:rsidR="00F235A6">
        <w:rPr>
          <w:sz w:val="22"/>
          <w:szCs w:val="22"/>
        </w:rPr>
        <w:t>(with the appropriate interest adjustments</w:t>
      </w:r>
      <w:r w:rsidR="005601BA">
        <w:rPr>
          <w:sz w:val="22"/>
          <w:szCs w:val="22"/>
        </w:rPr>
        <w:t xml:space="preserve"> made</w:t>
      </w:r>
      <w:r w:rsidR="00F235A6">
        <w:rPr>
          <w:sz w:val="22"/>
          <w:szCs w:val="22"/>
        </w:rPr>
        <w:t>)</w:t>
      </w:r>
      <w:r w:rsidR="00B14568">
        <w:rPr>
          <w:sz w:val="22"/>
          <w:szCs w:val="22"/>
        </w:rPr>
        <w:t>.  This is</w:t>
      </w:r>
      <w:r w:rsidR="005601BA">
        <w:rPr>
          <w:sz w:val="22"/>
          <w:szCs w:val="22"/>
        </w:rPr>
        <w:t xml:space="preserve"> </w:t>
      </w:r>
      <w:r w:rsidR="00AE7D28">
        <w:rPr>
          <w:sz w:val="22"/>
          <w:szCs w:val="22"/>
        </w:rPr>
        <w:t>through the NTS SO revenue adjustment term SOK</w:t>
      </w:r>
      <w:r w:rsidR="00AE7D28" w:rsidRPr="00AE7D28">
        <w:rPr>
          <w:sz w:val="22"/>
          <w:szCs w:val="22"/>
          <w:vertAlign w:val="subscript"/>
        </w:rPr>
        <w:t>t</w:t>
      </w:r>
      <w:r w:rsidR="00AE7D28">
        <w:rPr>
          <w:sz w:val="22"/>
          <w:szCs w:val="22"/>
        </w:rPr>
        <w:t xml:space="preserve"> which applies in that formula year</w:t>
      </w:r>
      <w:r w:rsidR="007E7647">
        <w:rPr>
          <w:sz w:val="22"/>
          <w:szCs w:val="22"/>
        </w:rPr>
        <w:t>.</w:t>
      </w:r>
    </w:p>
    <w:p w:rsidR="00550607" w:rsidRDefault="00550607" w:rsidP="00E84004">
      <w:pPr>
        <w:tabs>
          <w:tab w:val="left" w:pos="142"/>
        </w:tabs>
        <w:ind w:left="-567" w:right="-312"/>
        <w:rPr>
          <w:sz w:val="16"/>
          <w:szCs w:val="16"/>
        </w:rPr>
      </w:pPr>
    </w:p>
    <w:p w:rsidR="00550607" w:rsidRPr="00AF199F" w:rsidRDefault="00623B83" w:rsidP="00AF199F">
      <w:pPr>
        <w:pStyle w:val="Heading2"/>
        <w:pBdr>
          <w:top w:val="single" w:sz="4" w:space="5" w:color="C0504D"/>
          <w:bottom w:val="single" w:sz="4" w:space="15" w:color="C0504D"/>
        </w:pBdr>
        <w:tabs>
          <w:tab w:val="left" w:pos="142"/>
        </w:tabs>
        <w:ind w:left="-567" w:right="-312"/>
        <w:rPr>
          <w:i w:val="0"/>
          <w:color w:val="C0504D"/>
        </w:rPr>
      </w:pPr>
      <w:r>
        <w:br w:type="page"/>
      </w:r>
      <w:r w:rsidR="00550607" w:rsidRPr="00AF199F">
        <w:rPr>
          <w:i w:val="0"/>
          <w:color w:val="C0504D"/>
        </w:rPr>
        <w:lastRenderedPageBreak/>
        <w:t xml:space="preserve">Part B: TO </w:t>
      </w:r>
      <w:r w:rsidR="009D67C2" w:rsidRPr="00AF199F">
        <w:rPr>
          <w:i w:val="0"/>
          <w:color w:val="C0504D"/>
        </w:rPr>
        <w:t xml:space="preserve">ENTRY </w:t>
      </w:r>
      <w:r w:rsidR="00550607" w:rsidRPr="00AF199F">
        <w:rPr>
          <w:i w:val="0"/>
          <w:color w:val="C0504D"/>
        </w:rPr>
        <w:t xml:space="preserve">Commodity </w:t>
      </w:r>
      <w:r w:rsidR="000214BE" w:rsidRPr="00D33BBE">
        <w:rPr>
          <w:i w:val="0"/>
          <w:color w:val="C0504D"/>
        </w:rPr>
        <w:t>charge</w:t>
      </w:r>
    </w:p>
    <w:p w:rsidR="0075486A" w:rsidRDefault="0075486A" w:rsidP="00E84004">
      <w:pPr>
        <w:tabs>
          <w:tab w:val="left" w:pos="142"/>
        </w:tabs>
        <w:spacing w:line="120" w:lineRule="auto"/>
        <w:ind w:left="-567" w:right="-312"/>
        <w:rPr>
          <w:sz w:val="24"/>
          <w:szCs w:val="24"/>
        </w:rPr>
      </w:pPr>
    </w:p>
    <w:p w:rsidR="00550607" w:rsidRDefault="00550607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To derive the TO </w:t>
      </w:r>
      <w:r w:rsidR="009D67C2">
        <w:rPr>
          <w:sz w:val="22"/>
          <w:szCs w:val="22"/>
        </w:rPr>
        <w:t xml:space="preserve">Entry </w:t>
      </w:r>
      <w:proofErr w:type="gramStart"/>
      <w:r>
        <w:rPr>
          <w:sz w:val="22"/>
          <w:szCs w:val="22"/>
        </w:rPr>
        <w:t>Commodity</w:t>
      </w:r>
      <w:proofErr w:type="gramEnd"/>
      <w:r>
        <w:rPr>
          <w:sz w:val="22"/>
          <w:szCs w:val="22"/>
        </w:rPr>
        <w:t xml:space="preserve">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 xml:space="preserve"> a number of high-level steps are required:</w:t>
      </w:r>
    </w:p>
    <w:p w:rsidR="00550607" w:rsidRDefault="00550607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550607" w:rsidRPr="00AF199F" w:rsidRDefault="00550607" w:rsidP="00AF199F">
      <w:pPr>
        <w:pBdr>
          <w:top w:val="single" w:sz="4" w:space="5" w:color="C0504D"/>
          <w:left w:val="single" w:sz="4" w:space="4" w:color="C0504D"/>
          <w:bottom w:val="single" w:sz="4" w:space="6" w:color="C0504D"/>
          <w:right w:val="single" w:sz="4" w:space="4" w:color="C0504D"/>
        </w:pBdr>
        <w:shd w:val="clear" w:color="auto" w:fill="C0504D"/>
        <w:tabs>
          <w:tab w:val="left" w:pos="142"/>
          <w:tab w:val="left" w:pos="1560"/>
        </w:tabs>
        <w:spacing w:after="120"/>
        <w:ind w:left="-567" w:right="-312"/>
        <w:rPr>
          <w:color w:val="FFFFFF"/>
          <w:sz w:val="22"/>
          <w:szCs w:val="22"/>
        </w:rPr>
      </w:pPr>
      <w:r w:rsidRPr="00AF199F">
        <w:rPr>
          <w:b/>
          <w:color w:val="FFFFFF"/>
          <w:sz w:val="22"/>
          <w:szCs w:val="22"/>
        </w:rPr>
        <w:t>Step 1:</w:t>
      </w:r>
      <w:r w:rsidRPr="00AF199F">
        <w:rPr>
          <w:color w:val="FFFFFF"/>
          <w:sz w:val="22"/>
          <w:szCs w:val="22"/>
        </w:rPr>
        <w:tab/>
        <w:t xml:space="preserve">Determine </w:t>
      </w:r>
      <w:r w:rsidR="00781DE3" w:rsidRPr="00AF199F">
        <w:rPr>
          <w:color w:val="FFFFFF"/>
          <w:sz w:val="22"/>
          <w:szCs w:val="22"/>
        </w:rPr>
        <w:t xml:space="preserve">the </w:t>
      </w:r>
      <w:r w:rsidRPr="00AF199F">
        <w:rPr>
          <w:color w:val="FFFFFF"/>
          <w:sz w:val="22"/>
          <w:szCs w:val="22"/>
        </w:rPr>
        <w:t xml:space="preserve">TO </w:t>
      </w:r>
      <w:r w:rsidR="005D6F8D" w:rsidRPr="00D33BBE">
        <w:rPr>
          <w:color w:val="FFFFFF"/>
          <w:sz w:val="22"/>
          <w:szCs w:val="22"/>
        </w:rPr>
        <w:t>a</w:t>
      </w:r>
      <w:r w:rsidRPr="00AF199F">
        <w:rPr>
          <w:color w:val="FFFFFF"/>
          <w:sz w:val="22"/>
          <w:szCs w:val="22"/>
        </w:rPr>
        <w:t xml:space="preserve">llowed </w:t>
      </w:r>
      <w:r w:rsidR="005D6F8D" w:rsidRPr="00D33BBE">
        <w:rPr>
          <w:color w:val="FFFFFF"/>
          <w:sz w:val="22"/>
          <w:szCs w:val="22"/>
        </w:rPr>
        <w:t>r</w:t>
      </w:r>
      <w:r w:rsidRPr="00AF199F">
        <w:rPr>
          <w:color w:val="FFFFFF"/>
          <w:sz w:val="22"/>
          <w:szCs w:val="22"/>
        </w:rPr>
        <w:t>evenue</w:t>
      </w:r>
    </w:p>
    <w:p w:rsidR="00550607" w:rsidRPr="00AF199F" w:rsidRDefault="00550607" w:rsidP="00AF199F">
      <w:pPr>
        <w:pBdr>
          <w:top w:val="single" w:sz="4" w:space="5" w:color="C0504D"/>
          <w:left w:val="single" w:sz="4" w:space="4" w:color="C0504D"/>
          <w:bottom w:val="single" w:sz="4" w:space="6" w:color="C0504D"/>
          <w:right w:val="single" w:sz="4" w:space="4" w:color="C0504D"/>
        </w:pBdr>
        <w:shd w:val="clear" w:color="auto" w:fill="C0504D"/>
        <w:tabs>
          <w:tab w:val="left" w:pos="142"/>
          <w:tab w:val="left" w:pos="1560"/>
        </w:tabs>
        <w:spacing w:after="120"/>
        <w:ind w:left="1560" w:right="-312" w:hanging="2127"/>
        <w:jc w:val="left"/>
        <w:rPr>
          <w:color w:val="FFFFFF"/>
          <w:sz w:val="22"/>
          <w:szCs w:val="22"/>
        </w:rPr>
      </w:pPr>
      <w:r w:rsidRPr="00AF199F">
        <w:rPr>
          <w:b/>
          <w:color w:val="FFFFFF"/>
          <w:sz w:val="22"/>
          <w:szCs w:val="22"/>
        </w:rPr>
        <w:t>Step 2:</w:t>
      </w:r>
      <w:r w:rsidRPr="00AF199F">
        <w:rPr>
          <w:color w:val="FFFFFF"/>
          <w:sz w:val="22"/>
          <w:szCs w:val="22"/>
        </w:rPr>
        <w:tab/>
        <w:t>Determine the target revenue</w:t>
      </w:r>
      <w:r w:rsidR="00781DE3" w:rsidRPr="00AF199F">
        <w:rPr>
          <w:color w:val="FFFFFF"/>
          <w:sz w:val="22"/>
          <w:szCs w:val="22"/>
        </w:rPr>
        <w:t xml:space="preserve"> to be collected via the</w:t>
      </w:r>
      <w:r w:rsidRPr="00AF199F">
        <w:rPr>
          <w:color w:val="FFFFFF"/>
          <w:sz w:val="22"/>
          <w:szCs w:val="22"/>
        </w:rPr>
        <w:t xml:space="preserve"> </w:t>
      </w:r>
      <w:r w:rsidR="009D67C2" w:rsidRPr="00AF199F">
        <w:rPr>
          <w:color w:val="FFFFFF"/>
          <w:sz w:val="22"/>
          <w:szCs w:val="22"/>
        </w:rPr>
        <w:t>TO Entry Commodity</w:t>
      </w:r>
      <w:r w:rsidRPr="00AF199F">
        <w:rPr>
          <w:color w:val="FFFFFF"/>
          <w:sz w:val="22"/>
          <w:szCs w:val="22"/>
        </w:rPr>
        <w:t xml:space="preserve"> </w:t>
      </w:r>
      <w:r w:rsidR="005D6F8D" w:rsidRPr="00D33BBE">
        <w:rPr>
          <w:color w:val="FFFFFF"/>
          <w:sz w:val="22"/>
          <w:szCs w:val="22"/>
        </w:rPr>
        <w:t>c</w:t>
      </w:r>
      <w:r w:rsidRPr="00AF199F">
        <w:rPr>
          <w:color w:val="FFFFFF"/>
          <w:sz w:val="22"/>
          <w:szCs w:val="22"/>
        </w:rPr>
        <w:t>harge</w:t>
      </w:r>
    </w:p>
    <w:p w:rsidR="00550607" w:rsidRPr="00D33BBE" w:rsidRDefault="00550607" w:rsidP="00AF199F">
      <w:pPr>
        <w:pBdr>
          <w:top w:val="single" w:sz="4" w:space="5" w:color="C0504D"/>
          <w:left w:val="single" w:sz="4" w:space="4" w:color="C0504D"/>
          <w:bottom w:val="single" w:sz="4" w:space="6" w:color="C0504D"/>
          <w:right w:val="single" w:sz="4" w:space="4" w:color="C0504D"/>
        </w:pBdr>
        <w:shd w:val="clear" w:color="auto" w:fill="C0504D"/>
        <w:tabs>
          <w:tab w:val="left" w:pos="142"/>
          <w:tab w:val="left" w:pos="1560"/>
        </w:tabs>
        <w:spacing w:after="120"/>
        <w:ind w:left="-567" w:right="-312"/>
        <w:rPr>
          <w:color w:val="FFFFFF"/>
          <w:sz w:val="22"/>
          <w:szCs w:val="22"/>
        </w:rPr>
      </w:pPr>
      <w:r w:rsidRPr="00AF199F">
        <w:rPr>
          <w:b/>
          <w:color w:val="FFFFFF"/>
          <w:sz w:val="22"/>
          <w:szCs w:val="22"/>
        </w:rPr>
        <w:t>Step 3:</w:t>
      </w:r>
      <w:r w:rsidRPr="00AF199F">
        <w:rPr>
          <w:color w:val="FFFFFF"/>
          <w:sz w:val="22"/>
          <w:szCs w:val="22"/>
        </w:rPr>
        <w:tab/>
        <w:t xml:space="preserve">Determine the volumes that attract the </w:t>
      </w:r>
      <w:r w:rsidR="009D67C2" w:rsidRPr="00AF199F">
        <w:rPr>
          <w:color w:val="FFFFFF"/>
          <w:sz w:val="22"/>
          <w:szCs w:val="22"/>
        </w:rPr>
        <w:t>TO Entry Commodity</w:t>
      </w:r>
      <w:r w:rsidRPr="00AF199F">
        <w:rPr>
          <w:color w:val="FFFFFF"/>
          <w:sz w:val="22"/>
          <w:szCs w:val="22"/>
        </w:rPr>
        <w:t xml:space="preserve"> </w:t>
      </w:r>
      <w:r w:rsidR="005D6F8D" w:rsidRPr="00D33BBE">
        <w:rPr>
          <w:color w:val="FFFFFF"/>
          <w:sz w:val="22"/>
          <w:szCs w:val="22"/>
        </w:rPr>
        <w:t>c</w:t>
      </w:r>
      <w:r w:rsidRPr="00AF199F">
        <w:rPr>
          <w:color w:val="FFFFFF"/>
          <w:sz w:val="22"/>
          <w:szCs w:val="22"/>
        </w:rPr>
        <w:t>harge</w:t>
      </w:r>
    </w:p>
    <w:p w:rsidR="005D6F8D" w:rsidRPr="00AF199F" w:rsidRDefault="005D6F8D" w:rsidP="00AF199F">
      <w:pPr>
        <w:pBdr>
          <w:top w:val="single" w:sz="4" w:space="5" w:color="C0504D"/>
          <w:left w:val="single" w:sz="4" w:space="4" w:color="C0504D"/>
          <w:bottom w:val="single" w:sz="4" w:space="6" w:color="C0504D"/>
          <w:right w:val="single" w:sz="4" w:space="4" w:color="C0504D"/>
        </w:pBdr>
        <w:shd w:val="clear" w:color="auto" w:fill="C0504D"/>
        <w:tabs>
          <w:tab w:val="left" w:pos="142"/>
          <w:tab w:val="left" w:pos="1560"/>
        </w:tabs>
        <w:spacing w:after="120"/>
        <w:ind w:left="-567" w:right="-312"/>
        <w:rPr>
          <w:color w:val="FFFFFF"/>
          <w:sz w:val="22"/>
          <w:szCs w:val="22"/>
        </w:rPr>
      </w:pPr>
      <w:r w:rsidRPr="00D33BBE">
        <w:rPr>
          <w:b/>
          <w:color w:val="FFFFFF"/>
          <w:sz w:val="22"/>
          <w:szCs w:val="22"/>
        </w:rPr>
        <w:t>Step 4:</w:t>
      </w:r>
      <w:r w:rsidRPr="00D33BBE">
        <w:rPr>
          <w:b/>
          <w:color w:val="FFFFFF"/>
          <w:sz w:val="22"/>
          <w:szCs w:val="22"/>
        </w:rPr>
        <w:tab/>
      </w:r>
      <w:r w:rsidRPr="00AF199F">
        <w:rPr>
          <w:color w:val="FFFFFF"/>
          <w:sz w:val="22"/>
          <w:szCs w:val="22"/>
        </w:rPr>
        <w:t xml:space="preserve">Calculating the TO Entry Commodity </w:t>
      </w:r>
      <w:r w:rsidR="000214BE">
        <w:rPr>
          <w:color w:val="FFFFFF"/>
          <w:sz w:val="22"/>
          <w:szCs w:val="22"/>
        </w:rPr>
        <w:t>charge</w:t>
      </w:r>
      <w:r w:rsidRPr="00AF199F">
        <w:rPr>
          <w:color w:val="FFFFFF"/>
          <w:sz w:val="22"/>
          <w:szCs w:val="22"/>
        </w:rPr>
        <w:t xml:space="preserve"> rate</w:t>
      </w:r>
    </w:p>
    <w:p w:rsidR="00550607" w:rsidRDefault="00550607" w:rsidP="00E84004">
      <w:pPr>
        <w:tabs>
          <w:tab w:val="left" w:pos="142"/>
        </w:tabs>
        <w:spacing w:line="120" w:lineRule="auto"/>
        <w:ind w:left="-567" w:right="-312"/>
        <w:rPr>
          <w:sz w:val="24"/>
          <w:szCs w:val="24"/>
        </w:rPr>
      </w:pPr>
    </w:p>
    <w:p w:rsidR="00550607" w:rsidRPr="00AF199F" w:rsidRDefault="00F235A6" w:rsidP="00AF199F">
      <w:pPr>
        <w:pStyle w:val="Heading3"/>
        <w:pBdr>
          <w:top w:val="single" w:sz="4" w:space="3" w:color="C0504D"/>
          <w:bottom w:val="single" w:sz="4" w:space="10" w:color="C0504D"/>
        </w:pBdr>
        <w:tabs>
          <w:tab w:val="left" w:pos="142"/>
        </w:tabs>
        <w:ind w:left="-567" w:right="-312"/>
        <w:rPr>
          <w:color w:val="C0504D"/>
        </w:rPr>
      </w:pPr>
      <w:r w:rsidRPr="00AF199F">
        <w:rPr>
          <w:color w:val="C0504D"/>
        </w:rPr>
        <w:t xml:space="preserve">Step 1 </w:t>
      </w:r>
      <w:r w:rsidR="00550607" w:rsidRPr="00AF199F">
        <w:rPr>
          <w:color w:val="C0504D"/>
        </w:rPr>
        <w:t>Determining the TO allowed revenue</w:t>
      </w:r>
      <w:r w:rsidR="00665163" w:rsidRPr="00AF199F">
        <w:rPr>
          <w:color w:val="C0504D"/>
        </w:rPr>
        <w:t xml:space="preserve"> </w:t>
      </w:r>
    </w:p>
    <w:p w:rsidR="00550607" w:rsidRPr="008574BC" w:rsidRDefault="00550607" w:rsidP="00AF199F">
      <w:pPr>
        <w:tabs>
          <w:tab w:val="left" w:pos="142"/>
        </w:tabs>
        <w:spacing w:before="360"/>
        <w:ind w:left="-567" w:right="-312"/>
        <w:rPr>
          <w:sz w:val="22"/>
          <w:szCs w:val="22"/>
        </w:rPr>
      </w:pPr>
      <w:r w:rsidRPr="008574BC">
        <w:rPr>
          <w:sz w:val="22"/>
          <w:szCs w:val="22"/>
        </w:rPr>
        <w:t xml:space="preserve">The maximum NTS </w:t>
      </w:r>
      <w:r w:rsidR="00261916">
        <w:rPr>
          <w:sz w:val="22"/>
          <w:szCs w:val="22"/>
        </w:rPr>
        <w:t>T</w:t>
      </w:r>
      <w:r>
        <w:rPr>
          <w:sz w:val="22"/>
          <w:szCs w:val="22"/>
        </w:rPr>
        <w:t>O</w:t>
      </w:r>
      <w:r w:rsidRPr="008574BC">
        <w:rPr>
          <w:sz w:val="22"/>
          <w:szCs w:val="22"/>
        </w:rPr>
        <w:t xml:space="preserve"> </w:t>
      </w:r>
      <w:r w:rsidR="00B14568">
        <w:rPr>
          <w:sz w:val="22"/>
          <w:szCs w:val="22"/>
        </w:rPr>
        <w:t xml:space="preserve">allowed </w:t>
      </w:r>
      <w:r w:rsidRPr="008574BC">
        <w:rPr>
          <w:sz w:val="22"/>
          <w:szCs w:val="22"/>
        </w:rPr>
        <w:t>revenue</w:t>
      </w:r>
      <w:r>
        <w:rPr>
          <w:sz w:val="22"/>
          <w:szCs w:val="22"/>
        </w:rPr>
        <w:t xml:space="preserve"> in respect of formula year t (</w:t>
      </w:r>
      <w:r w:rsidRPr="008574BC">
        <w:rPr>
          <w:sz w:val="22"/>
          <w:szCs w:val="22"/>
        </w:rPr>
        <w:t>MR</w:t>
      </w:r>
      <w:r w:rsidRPr="00781DE3">
        <w:rPr>
          <w:sz w:val="22"/>
          <w:szCs w:val="22"/>
          <w:vertAlign w:val="subscript"/>
        </w:rPr>
        <w:t>t</w:t>
      </w:r>
      <w:r w:rsidRPr="008574BC">
        <w:rPr>
          <w:sz w:val="22"/>
          <w:szCs w:val="22"/>
        </w:rPr>
        <w:t xml:space="preserve">) is </w:t>
      </w:r>
      <w:r>
        <w:rPr>
          <w:sz w:val="22"/>
          <w:szCs w:val="22"/>
        </w:rPr>
        <w:t xml:space="preserve">defined </w:t>
      </w:r>
      <w:r w:rsidR="00781DE3">
        <w:rPr>
          <w:sz w:val="22"/>
          <w:szCs w:val="22"/>
        </w:rPr>
        <w:t>the</w:t>
      </w:r>
      <w:r>
        <w:rPr>
          <w:sz w:val="22"/>
          <w:szCs w:val="22"/>
        </w:rPr>
        <w:t xml:space="preserve"> Licence.  It is </w:t>
      </w:r>
      <w:r w:rsidRPr="008574BC">
        <w:rPr>
          <w:sz w:val="22"/>
          <w:szCs w:val="22"/>
        </w:rPr>
        <w:t>calculated using the following formula:</w:t>
      </w:r>
    </w:p>
    <w:p w:rsidR="00550607" w:rsidRPr="00623B83" w:rsidRDefault="00550607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550607" w:rsidRPr="00623B83" w:rsidRDefault="00550607" w:rsidP="00AA54A3">
      <w:pPr>
        <w:tabs>
          <w:tab w:val="left" w:pos="567"/>
          <w:tab w:val="left" w:pos="1800"/>
        </w:tabs>
        <w:ind w:left="567" w:right="-312"/>
        <w:jc w:val="left"/>
        <w:rPr>
          <w:sz w:val="22"/>
          <w:szCs w:val="22"/>
        </w:rPr>
      </w:pPr>
      <w:proofErr w:type="gramStart"/>
      <w:r w:rsidRPr="00623B83">
        <w:rPr>
          <w:sz w:val="22"/>
          <w:szCs w:val="22"/>
        </w:rPr>
        <w:t>MR</w:t>
      </w:r>
      <w:r w:rsidRPr="00781DE3">
        <w:rPr>
          <w:sz w:val="22"/>
          <w:szCs w:val="22"/>
          <w:vertAlign w:val="subscript"/>
        </w:rPr>
        <w:t>t</w:t>
      </w:r>
      <w:r w:rsidRPr="00623B83">
        <w:rPr>
          <w:sz w:val="22"/>
          <w:szCs w:val="22"/>
        </w:rPr>
        <w:t xml:space="preserve">  =</w:t>
      </w:r>
      <w:proofErr w:type="gramEnd"/>
      <w:r w:rsidR="00842628">
        <w:rPr>
          <w:sz w:val="22"/>
          <w:szCs w:val="22"/>
        </w:rPr>
        <w:t xml:space="preserve"> </w:t>
      </w:r>
      <w:r w:rsidR="00140D17">
        <w:rPr>
          <w:sz w:val="22"/>
          <w:szCs w:val="22"/>
        </w:rPr>
        <w:t>BR</w:t>
      </w:r>
      <w:r w:rsidR="00623B83" w:rsidRPr="00781DE3">
        <w:rPr>
          <w:sz w:val="22"/>
          <w:szCs w:val="22"/>
          <w:vertAlign w:val="subscript"/>
        </w:rPr>
        <w:t>t</w:t>
      </w:r>
      <w:r w:rsidR="00156967">
        <w:rPr>
          <w:sz w:val="22"/>
          <w:szCs w:val="22"/>
        </w:rPr>
        <w:t xml:space="preserve"> </w:t>
      </w:r>
      <w:r w:rsidR="00623B83" w:rsidRPr="00623B83">
        <w:rPr>
          <w:sz w:val="22"/>
          <w:szCs w:val="22"/>
        </w:rPr>
        <w:t xml:space="preserve">+ </w:t>
      </w:r>
      <w:r w:rsidR="00140D17">
        <w:rPr>
          <w:sz w:val="22"/>
          <w:szCs w:val="22"/>
        </w:rPr>
        <w:t>P</w:t>
      </w:r>
      <w:r w:rsidR="00623B83" w:rsidRPr="00623B83">
        <w:rPr>
          <w:sz w:val="22"/>
          <w:szCs w:val="22"/>
        </w:rPr>
        <w:t>T</w:t>
      </w:r>
      <w:r w:rsidR="00623B83" w:rsidRPr="00781DE3">
        <w:rPr>
          <w:sz w:val="22"/>
          <w:szCs w:val="22"/>
          <w:vertAlign w:val="subscript"/>
        </w:rPr>
        <w:t>t</w:t>
      </w:r>
      <w:r w:rsidR="00623B83" w:rsidRPr="00623B83">
        <w:rPr>
          <w:sz w:val="22"/>
          <w:szCs w:val="22"/>
        </w:rPr>
        <w:t xml:space="preserve"> + O</w:t>
      </w:r>
      <w:r w:rsidR="00140D17">
        <w:rPr>
          <w:sz w:val="22"/>
          <w:szCs w:val="22"/>
        </w:rPr>
        <w:t>IR</w:t>
      </w:r>
      <w:r w:rsidR="00623B83" w:rsidRPr="00781DE3">
        <w:rPr>
          <w:sz w:val="22"/>
          <w:szCs w:val="22"/>
          <w:vertAlign w:val="subscript"/>
        </w:rPr>
        <w:t>t</w:t>
      </w:r>
      <w:r w:rsidR="00623B83" w:rsidRPr="00623B83">
        <w:rPr>
          <w:sz w:val="22"/>
          <w:szCs w:val="22"/>
        </w:rPr>
        <w:t xml:space="preserve"> </w:t>
      </w:r>
      <w:r w:rsidR="00140D17">
        <w:rPr>
          <w:sz w:val="22"/>
          <w:szCs w:val="22"/>
        </w:rPr>
        <w:t>+NIA</w:t>
      </w:r>
      <w:r w:rsidR="00140D17" w:rsidRPr="00AA54A3">
        <w:rPr>
          <w:sz w:val="22"/>
          <w:szCs w:val="22"/>
          <w:vertAlign w:val="subscript"/>
        </w:rPr>
        <w:t>t</w:t>
      </w:r>
      <w:r w:rsidR="00140D17">
        <w:rPr>
          <w:sz w:val="22"/>
          <w:szCs w:val="22"/>
        </w:rPr>
        <w:t xml:space="preserve"> + NICF</w:t>
      </w:r>
      <w:r w:rsidR="00140D17" w:rsidRPr="00AA54A3">
        <w:rPr>
          <w:sz w:val="22"/>
          <w:szCs w:val="22"/>
          <w:vertAlign w:val="subscript"/>
        </w:rPr>
        <w:t>t</w:t>
      </w:r>
      <w:r w:rsidRPr="00623B83">
        <w:rPr>
          <w:sz w:val="22"/>
          <w:szCs w:val="22"/>
        </w:rPr>
        <w:t>- K</w:t>
      </w:r>
      <w:r w:rsidRPr="00781DE3">
        <w:rPr>
          <w:sz w:val="22"/>
          <w:szCs w:val="22"/>
          <w:vertAlign w:val="subscript"/>
        </w:rPr>
        <w:t>t</w:t>
      </w:r>
    </w:p>
    <w:p w:rsidR="00550607" w:rsidRPr="00623B83" w:rsidRDefault="00550607" w:rsidP="00E84004">
      <w:pPr>
        <w:tabs>
          <w:tab w:val="left" w:pos="142"/>
          <w:tab w:val="left" w:pos="1890"/>
        </w:tabs>
        <w:ind w:left="-567" w:right="-312"/>
        <w:jc w:val="left"/>
        <w:rPr>
          <w:sz w:val="22"/>
          <w:szCs w:val="22"/>
        </w:rPr>
      </w:pPr>
    </w:p>
    <w:p w:rsidR="00550607" w:rsidRPr="00AF199F" w:rsidRDefault="00356BFD" w:rsidP="00E84004">
      <w:pPr>
        <w:tabs>
          <w:tab w:val="left" w:pos="142"/>
          <w:tab w:val="left" w:pos="1890"/>
        </w:tabs>
        <w:ind w:left="-567" w:right="-312"/>
        <w:rPr>
          <w:color w:val="C0504D"/>
          <w:sz w:val="22"/>
          <w:szCs w:val="22"/>
        </w:rPr>
      </w:pPr>
      <w:r w:rsidRPr="00AF199F">
        <w:rPr>
          <w:b/>
          <w:color w:val="C0504D"/>
          <w:sz w:val="22"/>
          <w:szCs w:val="22"/>
        </w:rPr>
        <w:t>Table 9</w:t>
      </w:r>
      <w:r w:rsidR="00550607" w:rsidRPr="00AF199F">
        <w:rPr>
          <w:color w:val="C0504D"/>
          <w:sz w:val="22"/>
          <w:szCs w:val="22"/>
        </w:rPr>
        <w:t xml:space="preserve"> details the terms used </w:t>
      </w:r>
      <w:r w:rsidR="00741381" w:rsidRPr="00AF199F">
        <w:rPr>
          <w:color w:val="C0504D"/>
          <w:sz w:val="22"/>
          <w:szCs w:val="22"/>
        </w:rPr>
        <w:t>to determine the final pri</w:t>
      </w:r>
      <w:r w:rsidR="00550607" w:rsidRPr="00AF199F">
        <w:rPr>
          <w:color w:val="C0504D"/>
          <w:sz w:val="22"/>
          <w:szCs w:val="22"/>
        </w:rPr>
        <w:t xml:space="preserve">ces </w:t>
      </w:r>
      <w:r w:rsidR="00741381" w:rsidRPr="00AF199F">
        <w:rPr>
          <w:color w:val="C0504D"/>
          <w:sz w:val="22"/>
          <w:szCs w:val="22"/>
        </w:rPr>
        <w:t xml:space="preserve">to apply </w:t>
      </w:r>
      <w:r w:rsidR="00AD72EF" w:rsidRPr="00AF199F">
        <w:rPr>
          <w:color w:val="C0504D"/>
          <w:sz w:val="22"/>
          <w:szCs w:val="22"/>
        </w:rPr>
        <w:t>during the formula year</w:t>
      </w:r>
      <w:r w:rsidR="00003B0B" w:rsidRPr="00AF199F">
        <w:rPr>
          <w:color w:val="C0504D"/>
          <w:sz w:val="22"/>
          <w:szCs w:val="22"/>
        </w:rPr>
        <w:t>.</w:t>
      </w:r>
    </w:p>
    <w:p w:rsidR="00FD3A31" w:rsidRPr="00AF199F" w:rsidDel="00FD3A31" w:rsidRDefault="007F2DAA" w:rsidP="00E84004">
      <w:pPr>
        <w:tabs>
          <w:tab w:val="left" w:pos="142"/>
        </w:tabs>
        <w:ind w:left="-567" w:right="-312"/>
        <w:rPr>
          <w:color w:val="C0504D"/>
        </w:rPr>
      </w:pPr>
      <w:r w:rsidRPr="00AF199F">
        <w:rPr>
          <w:color w:val="C0504D"/>
          <w:sz w:val="22"/>
          <w:szCs w:val="22"/>
        </w:rPr>
        <w:t xml:space="preserve"> </w:t>
      </w:r>
    </w:p>
    <w:p w:rsidR="00550607" w:rsidRPr="00156967" w:rsidRDefault="00550607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156967">
        <w:rPr>
          <w:sz w:val="22"/>
          <w:szCs w:val="22"/>
        </w:rPr>
        <w:t xml:space="preserve">For further details of the TO allowed revenue, refer to Special Condition </w:t>
      </w:r>
      <w:r w:rsidR="00D1636D">
        <w:rPr>
          <w:sz w:val="22"/>
          <w:szCs w:val="22"/>
        </w:rPr>
        <w:t>2A</w:t>
      </w:r>
      <w:r w:rsidRPr="00156967">
        <w:rPr>
          <w:sz w:val="22"/>
          <w:szCs w:val="22"/>
        </w:rPr>
        <w:t xml:space="preserve"> </w:t>
      </w:r>
      <w:r w:rsidR="00156967" w:rsidRPr="00156967">
        <w:rPr>
          <w:sz w:val="22"/>
          <w:szCs w:val="22"/>
        </w:rPr>
        <w:t>“NTS transportation owner activity revenue restriction”</w:t>
      </w:r>
      <w:r w:rsidR="00D1636D">
        <w:rPr>
          <w:sz w:val="22"/>
          <w:szCs w:val="22"/>
        </w:rPr>
        <w:t>.</w:t>
      </w:r>
    </w:p>
    <w:p w:rsidR="00550607" w:rsidRPr="008574BC" w:rsidRDefault="00550607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550607" w:rsidRPr="00AF199F" w:rsidRDefault="00550607" w:rsidP="009008CC">
      <w:pPr>
        <w:pStyle w:val="Heading4"/>
        <w:tabs>
          <w:tab w:val="left" w:pos="142"/>
        </w:tabs>
        <w:ind w:left="-567" w:right="-312" w:firstLine="0"/>
        <w:rPr>
          <w:color w:val="C0504D"/>
        </w:rPr>
      </w:pPr>
      <w:r w:rsidRPr="00AF199F">
        <w:rPr>
          <w:color w:val="C0504D"/>
        </w:rPr>
        <w:t>Typical variations in MR</w:t>
      </w:r>
      <w:r w:rsidRPr="00AF199F">
        <w:rPr>
          <w:rFonts w:ascii="Arial Bold" w:hAnsi="Arial Bold"/>
          <w:color w:val="C0504D"/>
          <w:vertAlign w:val="subscript"/>
        </w:rPr>
        <w:t>t</w:t>
      </w:r>
    </w:p>
    <w:p w:rsidR="00550607" w:rsidRDefault="00550607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D1636D" w:rsidRDefault="0041669D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Assuming no change to the </w:t>
      </w:r>
      <w:r w:rsidR="00741381">
        <w:rPr>
          <w:sz w:val="22"/>
          <w:szCs w:val="22"/>
        </w:rPr>
        <w:t>T</w:t>
      </w:r>
      <w:r>
        <w:rPr>
          <w:sz w:val="22"/>
          <w:szCs w:val="22"/>
        </w:rPr>
        <w:t xml:space="preserve">ransportation </w:t>
      </w:r>
      <w:r w:rsidR="00741381">
        <w:rPr>
          <w:sz w:val="22"/>
          <w:szCs w:val="22"/>
        </w:rPr>
        <w:t>L</w:t>
      </w:r>
      <w:r>
        <w:rPr>
          <w:sz w:val="22"/>
          <w:szCs w:val="22"/>
        </w:rPr>
        <w:t>icence, s</w:t>
      </w:r>
      <w:r w:rsidR="00550607">
        <w:rPr>
          <w:sz w:val="22"/>
          <w:szCs w:val="22"/>
        </w:rPr>
        <w:t>hippers may wish to note</w:t>
      </w:r>
      <w:r w:rsidR="00D1636D">
        <w:rPr>
          <w:sz w:val="22"/>
          <w:szCs w:val="22"/>
        </w:rPr>
        <w:t xml:space="preserve"> that the new L</w:t>
      </w:r>
      <w:r w:rsidR="00DE4E92">
        <w:rPr>
          <w:sz w:val="22"/>
          <w:szCs w:val="22"/>
        </w:rPr>
        <w:t>icence makes allowances for many</w:t>
      </w:r>
      <w:r w:rsidR="00D1636D">
        <w:rPr>
          <w:sz w:val="22"/>
          <w:szCs w:val="22"/>
        </w:rPr>
        <w:t xml:space="preserve"> of the cost terms and so it is the variation from the allowance that is added on to the base revenue that makes up the maximum allowed revenue (MR</w:t>
      </w:r>
      <w:r w:rsidR="00D1636D" w:rsidRPr="00AA54A3">
        <w:rPr>
          <w:sz w:val="22"/>
          <w:szCs w:val="22"/>
          <w:vertAlign w:val="subscript"/>
        </w:rPr>
        <w:t>t</w:t>
      </w:r>
      <w:r w:rsidR="00D1636D">
        <w:rPr>
          <w:sz w:val="22"/>
          <w:szCs w:val="22"/>
        </w:rPr>
        <w:t>).</w:t>
      </w:r>
    </w:p>
    <w:p w:rsidR="00D1636D" w:rsidRPr="00833D24" w:rsidRDefault="00D1636D" w:rsidP="00E84004">
      <w:pPr>
        <w:tabs>
          <w:tab w:val="left" w:pos="142"/>
        </w:tabs>
        <w:ind w:left="-567" w:right="-312"/>
      </w:pPr>
    </w:p>
    <w:p w:rsidR="00550607" w:rsidRPr="00AF199F" w:rsidRDefault="00781DE3" w:rsidP="00AF199F">
      <w:pPr>
        <w:pStyle w:val="Heading3"/>
        <w:pBdr>
          <w:top w:val="single" w:sz="4" w:space="3" w:color="C0504D"/>
          <w:bottom w:val="single" w:sz="4" w:space="10" w:color="C0504D"/>
        </w:pBdr>
        <w:tabs>
          <w:tab w:val="left" w:pos="142"/>
        </w:tabs>
        <w:ind w:left="-567" w:right="-312"/>
        <w:rPr>
          <w:color w:val="C0504D"/>
        </w:rPr>
      </w:pPr>
      <w:r w:rsidRPr="00AF199F">
        <w:rPr>
          <w:color w:val="C0504D"/>
        </w:rPr>
        <w:t>Step 2</w:t>
      </w:r>
      <w:r w:rsidR="00B14568" w:rsidRPr="00AF199F">
        <w:rPr>
          <w:color w:val="C0504D"/>
        </w:rPr>
        <w:t>:</w:t>
      </w:r>
      <w:r w:rsidRPr="00AF199F">
        <w:rPr>
          <w:color w:val="C0504D"/>
        </w:rPr>
        <w:t xml:space="preserve"> </w:t>
      </w:r>
      <w:r w:rsidR="00550607" w:rsidRPr="00AF199F">
        <w:rPr>
          <w:color w:val="C0504D"/>
        </w:rPr>
        <w:t xml:space="preserve">Determining the target revenue for the </w:t>
      </w:r>
      <w:r w:rsidR="009D67C2" w:rsidRPr="00AF199F">
        <w:rPr>
          <w:color w:val="C0504D"/>
        </w:rPr>
        <w:t>TO Entry Commodity</w:t>
      </w:r>
      <w:r w:rsidR="00550607" w:rsidRPr="00AF199F">
        <w:rPr>
          <w:color w:val="C0504D"/>
        </w:rPr>
        <w:t xml:space="preserve"> </w:t>
      </w:r>
      <w:r w:rsidR="000214BE" w:rsidRPr="00D33BBE">
        <w:rPr>
          <w:color w:val="C0504D"/>
        </w:rPr>
        <w:t>charge</w:t>
      </w:r>
      <w:r w:rsidR="00665163" w:rsidRPr="00AF199F">
        <w:rPr>
          <w:color w:val="C0504D"/>
        </w:rPr>
        <w:t xml:space="preserve"> </w:t>
      </w:r>
    </w:p>
    <w:p w:rsidR="00550607" w:rsidRPr="00550607" w:rsidRDefault="00550607" w:rsidP="00E84004">
      <w:pPr>
        <w:tabs>
          <w:tab w:val="left" w:pos="142"/>
          <w:tab w:val="left" w:pos="1620"/>
        </w:tabs>
        <w:ind w:left="-567" w:right="-312"/>
        <w:rPr>
          <w:sz w:val="22"/>
          <w:szCs w:val="22"/>
        </w:rPr>
      </w:pPr>
    </w:p>
    <w:p w:rsidR="00665163" w:rsidRDefault="00550607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550607">
        <w:rPr>
          <w:sz w:val="22"/>
          <w:szCs w:val="22"/>
        </w:rPr>
        <w:t xml:space="preserve">The </w:t>
      </w:r>
      <w:r w:rsidR="009D67C2">
        <w:rPr>
          <w:sz w:val="22"/>
          <w:szCs w:val="22"/>
        </w:rPr>
        <w:t>TO Entry Commodity</w:t>
      </w:r>
      <w:r w:rsidRPr="00550607">
        <w:rPr>
          <w:sz w:val="22"/>
          <w:szCs w:val="22"/>
        </w:rPr>
        <w:t xml:space="preserve"> </w:t>
      </w:r>
      <w:r w:rsidR="000214BE">
        <w:rPr>
          <w:sz w:val="22"/>
          <w:szCs w:val="22"/>
        </w:rPr>
        <w:t>charge</w:t>
      </w:r>
      <w:r w:rsidRPr="00550607">
        <w:rPr>
          <w:sz w:val="22"/>
          <w:szCs w:val="22"/>
        </w:rPr>
        <w:t xml:space="preserve"> collect</w:t>
      </w:r>
      <w:r>
        <w:rPr>
          <w:sz w:val="22"/>
          <w:szCs w:val="22"/>
        </w:rPr>
        <w:t>s</w:t>
      </w:r>
      <w:r w:rsidRPr="00550607">
        <w:rPr>
          <w:sz w:val="22"/>
          <w:szCs w:val="22"/>
        </w:rPr>
        <w:t xml:space="preserve"> the difference between auction revenue applicable to the formula year and TO </w:t>
      </w:r>
      <w:r>
        <w:rPr>
          <w:sz w:val="22"/>
          <w:szCs w:val="22"/>
        </w:rPr>
        <w:t>e</w:t>
      </w:r>
      <w:r w:rsidRPr="00550607">
        <w:rPr>
          <w:sz w:val="22"/>
          <w:szCs w:val="22"/>
        </w:rPr>
        <w:t>ntry allowed revenue.</w:t>
      </w:r>
    </w:p>
    <w:p w:rsidR="00665163" w:rsidRDefault="00665163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665163" w:rsidRPr="00AF199F" w:rsidRDefault="00665163" w:rsidP="009008CC">
      <w:pPr>
        <w:pStyle w:val="Heading4"/>
        <w:tabs>
          <w:tab w:val="left" w:pos="142"/>
        </w:tabs>
        <w:ind w:left="-567" w:right="-312" w:firstLine="0"/>
        <w:rPr>
          <w:color w:val="C0504D"/>
        </w:rPr>
      </w:pPr>
      <w:r w:rsidRPr="00AF199F">
        <w:rPr>
          <w:color w:val="C0504D"/>
        </w:rPr>
        <w:t>TO entry allowed revenue</w:t>
      </w:r>
    </w:p>
    <w:p w:rsidR="00E3195A" w:rsidRPr="00665163" w:rsidRDefault="00E3195A" w:rsidP="00E84004">
      <w:pPr>
        <w:tabs>
          <w:tab w:val="left" w:pos="142"/>
        </w:tabs>
        <w:ind w:left="-567" w:right="-312"/>
        <w:rPr>
          <w:b/>
          <w:i/>
          <w:sz w:val="22"/>
          <w:szCs w:val="22"/>
        </w:rPr>
      </w:pPr>
    </w:p>
    <w:p w:rsidR="00550607" w:rsidRDefault="00550607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The TO entry allowed revenue is</w:t>
      </w:r>
      <w:r w:rsidR="005A4A67">
        <w:rPr>
          <w:sz w:val="22"/>
          <w:szCs w:val="22"/>
        </w:rPr>
        <w:t xml:space="preserve"> equal to the</w:t>
      </w:r>
      <w:r>
        <w:rPr>
          <w:sz w:val="22"/>
          <w:szCs w:val="22"/>
        </w:rPr>
        <w:t xml:space="preserve"> </w:t>
      </w:r>
      <w:r w:rsidR="00665163">
        <w:rPr>
          <w:sz w:val="22"/>
          <w:szCs w:val="22"/>
        </w:rPr>
        <w:t>TO maximum allowed revenue</w:t>
      </w:r>
      <w:r w:rsidR="005A4A67">
        <w:rPr>
          <w:sz w:val="22"/>
          <w:szCs w:val="22"/>
        </w:rPr>
        <w:t xml:space="preserve"> (net of K (K</w:t>
      </w:r>
      <w:r w:rsidR="005A4A67" w:rsidRPr="00F278FC">
        <w:rPr>
          <w:sz w:val="22"/>
          <w:szCs w:val="22"/>
          <w:vertAlign w:val="subscript"/>
        </w:rPr>
        <w:t>t</w:t>
      </w:r>
      <w:r w:rsidR="005A4A67">
        <w:rPr>
          <w:sz w:val="22"/>
          <w:szCs w:val="22"/>
        </w:rPr>
        <w:t>))</w:t>
      </w:r>
      <w:r w:rsidR="00502DEB">
        <w:rPr>
          <w:sz w:val="22"/>
          <w:szCs w:val="22"/>
        </w:rPr>
        <w:t>. The</w:t>
      </w:r>
      <w:r>
        <w:rPr>
          <w:sz w:val="22"/>
          <w:szCs w:val="22"/>
        </w:rPr>
        <w:t xml:space="preserve"> revenue collected from the Pension Deficit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 xml:space="preserve"> (levied on Distribution Networks)</w:t>
      </w:r>
      <w:r w:rsidR="00C017C1">
        <w:rPr>
          <w:sz w:val="22"/>
          <w:szCs w:val="22"/>
        </w:rPr>
        <w:t xml:space="preserve"> and Metering </w:t>
      </w:r>
      <w:r w:rsidR="005833EB">
        <w:rPr>
          <w:sz w:val="22"/>
          <w:szCs w:val="22"/>
        </w:rPr>
        <w:t>charge</w:t>
      </w:r>
      <w:r w:rsidR="00C017C1">
        <w:rPr>
          <w:sz w:val="22"/>
          <w:szCs w:val="22"/>
        </w:rPr>
        <w:t>s</w:t>
      </w:r>
      <w:r w:rsidR="005A4A67">
        <w:rPr>
          <w:sz w:val="22"/>
          <w:szCs w:val="22"/>
        </w:rPr>
        <w:t xml:space="preserve"> is then deducted. This is then divided by 2. </w:t>
      </w:r>
      <w:proofErr w:type="gramStart"/>
      <w:r w:rsidR="005A4A67">
        <w:rPr>
          <w:sz w:val="22"/>
          <w:szCs w:val="22"/>
        </w:rPr>
        <w:t>Finally</w:t>
      </w:r>
      <w:proofErr w:type="gramEnd"/>
      <w:r w:rsidR="005A4A67">
        <w:rPr>
          <w:sz w:val="22"/>
          <w:szCs w:val="22"/>
        </w:rPr>
        <w:t xml:space="preserve"> the TO Entry Allowed Revenue is then adjusted by the Entry K amount.</w:t>
      </w:r>
      <w:r w:rsidR="00502DEB">
        <w:rPr>
          <w:sz w:val="22"/>
          <w:szCs w:val="22"/>
        </w:rPr>
        <w:t xml:space="preserve"> Please compare Table 9 and Table 11 to see how this works in detail.</w:t>
      </w:r>
    </w:p>
    <w:p w:rsidR="00665163" w:rsidRDefault="00665163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665163" w:rsidRPr="00AF199F" w:rsidRDefault="005833EB" w:rsidP="009008CC">
      <w:pPr>
        <w:pStyle w:val="Heading4"/>
        <w:tabs>
          <w:tab w:val="left" w:pos="142"/>
        </w:tabs>
        <w:ind w:left="-567" w:right="-312" w:firstLine="0"/>
        <w:rPr>
          <w:color w:val="C0504D"/>
        </w:rPr>
      </w:pPr>
      <w:r w:rsidRPr="00D33BBE">
        <w:rPr>
          <w:color w:val="C0504D"/>
        </w:rPr>
        <w:br w:type="page"/>
      </w:r>
      <w:r w:rsidR="00665163" w:rsidRPr="00AF199F">
        <w:rPr>
          <w:color w:val="C0504D"/>
        </w:rPr>
        <w:lastRenderedPageBreak/>
        <w:t>Auction revenue</w:t>
      </w:r>
    </w:p>
    <w:p w:rsidR="00665163" w:rsidRDefault="00665163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B04F8B" w:rsidRDefault="00665163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276B1">
        <w:rPr>
          <w:sz w:val="22"/>
          <w:szCs w:val="22"/>
        </w:rPr>
        <w:t xml:space="preserve">obligated </w:t>
      </w:r>
      <w:r w:rsidR="009B4A6B">
        <w:rPr>
          <w:sz w:val="22"/>
          <w:szCs w:val="22"/>
        </w:rPr>
        <w:t>entry</w:t>
      </w:r>
      <w:r w:rsidR="00B276B1">
        <w:rPr>
          <w:sz w:val="22"/>
          <w:szCs w:val="22"/>
        </w:rPr>
        <w:t xml:space="preserve"> capacity</w:t>
      </w:r>
      <w:r w:rsidR="009B4A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revenue </w:t>
      </w:r>
      <w:r w:rsidR="00CD7469">
        <w:rPr>
          <w:sz w:val="22"/>
          <w:szCs w:val="22"/>
        </w:rPr>
        <w:t>collected in the relevant year must be determined by considering all applicable capacity auctions</w:t>
      </w:r>
      <w:r w:rsidR="008D42E4">
        <w:rPr>
          <w:sz w:val="22"/>
          <w:szCs w:val="22"/>
        </w:rPr>
        <w:t xml:space="preserve"> (ahead of the day)</w:t>
      </w:r>
      <w:r w:rsidR="00CD7469">
        <w:rPr>
          <w:sz w:val="22"/>
          <w:szCs w:val="22"/>
        </w:rPr>
        <w:t>.</w:t>
      </w:r>
      <w:r w:rsidR="00550607" w:rsidRPr="00550607">
        <w:rPr>
          <w:sz w:val="22"/>
          <w:szCs w:val="22"/>
        </w:rPr>
        <w:t xml:space="preserve"> </w:t>
      </w:r>
      <w:r w:rsidR="00CD7469">
        <w:rPr>
          <w:sz w:val="22"/>
          <w:szCs w:val="22"/>
        </w:rPr>
        <w:t xml:space="preserve"> </w:t>
      </w:r>
      <w:r w:rsidR="00B04F8B">
        <w:rPr>
          <w:sz w:val="22"/>
          <w:szCs w:val="22"/>
        </w:rPr>
        <w:t>A combination of forecast and actual data is used depending on the auction type and when it is held.</w:t>
      </w:r>
    </w:p>
    <w:p w:rsidR="00B04F8B" w:rsidRDefault="00B04F8B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4518DE" w:rsidRDefault="00B04F8B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For instance, r</w:t>
      </w:r>
      <w:r w:rsidR="00550607" w:rsidRPr="00550607">
        <w:rPr>
          <w:sz w:val="22"/>
          <w:szCs w:val="22"/>
        </w:rPr>
        <w:t xml:space="preserve">evenue </w:t>
      </w:r>
      <w:r>
        <w:rPr>
          <w:sz w:val="22"/>
          <w:szCs w:val="22"/>
        </w:rPr>
        <w:t xml:space="preserve">from the </w:t>
      </w:r>
      <w:r w:rsidR="003D5A79" w:rsidRPr="00550607">
        <w:rPr>
          <w:sz w:val="22"/>
          <w:szCs w:val="22"/>
        </w:rPr>
        <w:t>Q</w:t>
      </w:r>
      <w:r w:rsidR="003D5A79">
        <w:rPr>
          <w:sz w:val="22"/>
          <w:szCs w:val="22"/>
        </w:rPr>
        <w:t>uarterly System Entry Capacity (QSEC)</w:t>
      </w:r>
      <w:r w:rsidR="003D5A79" w:rsidRPr="00550607">
        <w:rPr>
          <w:sz w:val="22"/>
          <w:szCs w:val="22"/>
        </w:rPr>
        <w:t xml:space="preserve"> </w:t>
      </w:r>
      <w:r w:rsidR="00550607" w:rsidRPr="00550607">
        <w:rPr>
          <w:sz w:val="22"/>
          <w:szCs w:val="22"/>
        </w:rPr>
        <w:t xml:space="preserve">auctions is </w:t>
      </w:r>
      <w:r>
        <w:rPr>
          <w:sz w:val="22"/>
          <w:szCs w:val="22"/>
        </w:rPr>
        <w:t>based on actual data</w:t>
      </w:r>
      <w:r w:rsidR="003D5A79">
        <w:rPr>
          <w:sz w:val="22"/>
          <w:szCs w:val="22"/>
        </w:rPr>
        <w:t>. The QSEC auction sells entry c</w:t>
      </w:r>
      <w:r w:rsidR="009751BB">
        <w:rPr>
          <w:sz w:val="22"/>
          <w:szCs w:val="22"/>
        </w:rPr>
        <w:t>apacity for capacity year+</w:t>
      </w:r>
      <w:r w:rsidR="0070333A">
        <w:rPr>
          <w:sz w:val="22"/>
          <w:szCs w:val="22"/>
        </w:rPr>
        <w:t>1</w:t>
      </w:r>
      <w:r w:rsidR="009751BB">
        <w:rPr>
          <w:sz w:val="22"/>
          <w:szCs w:val="22"/>
        </w:rPr>
        <w:t xml:space="preserve"> to c</w:t>
      </w:r>
      <w:r w:rsidR="003D5A79">
        <w:rPr>
          <w:sz w:val="22"/>
          <w:szCs w:val="22"/>
        </w:rPr>
        <w:t xml:space="preserve">apacity year+16 inclusive. </w:t>
      </w:r>
      <w:r w:rsidR="00B14568">
        <w:rPr>
          <w:sz w:val="22"/>
          <w:szCs w:val="22"/>
        </w:rPr>
        <w:t xml:space="preserve">The </w:t>
      </w:r>
      <w:r w:rsidR="003D5A79">
        <w:rPr>
          <w:sz w:val="22"/>
          <w:szCs w:val="22"/>
        </w:rPr>
        <w:t xml:space="preserve">QSEC </w:t>
      </w:r>
      <w:r w:rsidR="00844F9E">
        <w:rPr>
          <w:sz w:val="22"/>
          <w:szCs w:val="22"/>
        </w:rPr>
        <w:t xml:space="preserve">to be </w:t>
      </w:r>
      <w:r w:rsidR="00B14568">
        <w:rPr>
          <w:sz w:val="22"/>
          <w:szCs w:val="22"/>
        </w:rPr>
        <w:t xml:space="preserve">held in </w:t>
      </w:r>
      <w:r w:rsidR="00DA1FA6">
        <w:rPr>
          <w:sz w:val="22"/>
          <w:szCs w:val="22"/>
        </w:rPr>
        <w:t xml:space="preserve">March </w:t>
      </w:r>
      <w:r w:rsidR="003D5A79">
        <w:rPr>
          <w:sz w:val="22"/>
          <w:szCs w:val="22"/>
        </w:rPr>
        <w:t>20</w:t>
      </w:r>
      <w:r w:rsidR="00844F9E">
        <w:rPr>
          <w:sz w:val="22"/>
          <w:szCs w:val="22"/>
        </w:rPr>
        <w:t>1</w:t>
      </w:r>
      <w:r w:rsidR="001E4EF6">
        <w:rPr>
          <w:sz w:val="22"/>
          <w:szCs w:val="22"/>
        </w:rPr>
        <w:t>7</w:t>
      </w:r>
      <w:r w:rsidR="003D5A79">
        <w:rPr>
          <w:sz w:val="22"/>
          <w:szCs w:val="22"/>
        </w:rPr>
        <w:t xml:space="preserve"> s</w:t>
      </w:r>
      <w:r w:rsidR="00844F9E">
        <w:rPr>
          <w:sz w:val="22"/>
          <w:szCs w:val="22"/>
        </w:rPr>
        <w:t>ells</w:t>
      </w:r>
      <w:r w:rsidR="003D5A79">
        <w:rPr>
          <w:sz w:val="22"/>
          <w:szCs w:val="22"/>
        </w:rPr>
        <w:t xml:space="preserve"> capacity </w:t>
      </w:r>
      <w:r w:rsidR="003D5A79" w:rsidRPr="00F278FC">
        <w:rPr>
          <w:sz w:val="22"/>
          <w:szCs w:val="22"/>
        </w:rPr>
        <w:t xml:space="preserve">from 1 </w:t>
      </w:r>
      <w:r w:rsidR="0070333A" w:rsidRPr="00F278FC">
        <w:rPr>
          <w:sz w:val="22"/>
          <w:szCs w:val="22"/>
        </w:rPr>
        <w:t>October</w:t>
      </w:r>
      <w:r w:rsidR="0070333A">
        <w:rPr>
          <w:sz w:val="22"/>
          <w:szCs w:val="22"/>
        </w:rPr>
        <w:t xml:space="preserve"> </w:t>
      </w:r>
      <w:r w:rsidR="007E0186">
        <w:rPr>
          <w:sz w:val="22"/>
          <w:szCs w:val="22"/>
        </w:rPr>
        <w:t>1</w:t>
      </w:r>
      <w:r w:rsidR="001E4EF6">
        <w:rPr>
          <w:sz w:val="22"/>
          <w:szCs w:val="22"/>
        </w:rPr>
        <w:t>8</w:t>
      </w:r>
      <w:r w:rsidR="003D5A79">
        <w:rPr>
          <w:sz w:val="22"/>
          <w:szCs w:val="22"/>
        </w:rPr>
        <w:t xml:space="preserve"> to 3</w:t>
      </w:r>
      <w:r w:rsidR="00D942E3">
        <w:rPr>
          <w:sz w:val="22"/>
          <w:szCs w:val="22"/>
        </w:rPr>
        <w:t>0</w:t>
      </w:r>
      <w:r w:rsidR="0070333A">
        <w:rPr>
          <w:sz w:val="22"/>
          <w:szCs w:val="22"/>
        </w:rPr>
        <w:t xml:space="preserve"> September </w:t>
      </w:r>
      <w:r w:rsidR="00731129">
        <w:rPr>
          <w:sz w:val="22"/>
          <w:szCs w:val="22"/>
        </w:rPr>
        <w:t>3</w:t>
      </w:r>
      <w:r w:rsidR="001E4EF6">
        <w:rPr>
          <w:sz w:val="22"/>
          <w:szCs w:val="22"/>
        </w:rPr>
        <w:t>4</w:t>
      </w:r>
      <w:r w:rsidR="003D5A79">
        <w:rPr>
          <w:sz w:val="22"/>
          <w:szCs w:val="22"/>
        </w:rPr>
        <w:t xml:space="preserve">. </w:t>
      </w:r>
      <w:proofErr w:type="gramStart"/>
      <w:r w:rsidR="003D5A79">
        <w:rPr>
          <w:sz w:val="22"/>
          <w:szCs w:val="22"/>
        </w:rPr>
        <w:t>Therefore</w:t>
      </w:r>
      <w:proofErr w:type="gramEnd"/>
      <w:r w:rsidR="003D5A79">
        <w:rPr>
          <w:sz w:val="22"/>
          <w:szCs w:val="22"/>
        </w:rPr>
        <w:t xml:space="preserve"> all QSEC auctions held previous to QSEC 20</w:t>
      </w:r>
      <w:r w:rsidR="00844F9E">
        <w:rPr>
          <w:sz w:val="22"/>
          <w:szCs w:val="22"/>
        </w:rPr>
        <w:t>1</w:t>
      </w:r>
      <w:r w:rsidR="001E4EF6">
        <w:rPr>
          <w:sz w:val="22"/>
          <w:szCs w:val="22"/>
        </w:rPr>
        <w:t>7</w:t>
      </w:r>
      <w:r w:rsidR="0070333A">
        <w:rPr>
          <w:sz w:val="22"/>
          <w:szCs w:val="22"/>
        </w:rPr>
        <w:t xml:space="preserve"> </w:t>
      </w:r>
      <w:r w:rsidR="003D5A79">
        <w:rPr>
          <w:sz w:val="22"/>
          <w:szCs w:val="22"/>
        </w:rPr>
        <w:t>will have sold entry capacity for the 20</w:t>
      </w:r>
      <w:r w:rsidR="00844F9E">
        <w:rPr>
          <w:sz w:val="22"/>
          <w:szCs w:val="22"/>
        </w:rPr>
        <w:t>1</w:t>
      </w:r>
      <w:r w:rsidR="001E4EF6">
        <w:rPr>
          <w:sz w:val="22"/>
          <w:szCs w:val="22"/>
        </w:rPr>
        <w:t>7</w:t>
      </w:r>
      <w:r w:rsidR="003D5A79">
        <w:rPr>
          <w:sz w:val="22"/>
          <w:szCs w:val="22"/>
        </w:rPr>
        <w:t>/</w:t>
      </w:r>
      <w:r w:rsidR="007E0186">
        <w:rPr>
          <w:sz w:val="22"/>
          <w:szCs w:val="22"/>
        </w:rPr>
        <w:t>1</w:t>
      </w:r>
      <w:r w:rsidR="001E4EF6">
        <w:rPr>
          <w:sz w:val="22"/>
          <w:szCs w:val="22"/>
        </w:rPr>
        <w:t>8</w:t>
      </w:r>
      <w:r w:rsidR="003D5A79">
        <w:rPr>
          <w:sz w:val="22"/>
          <w:szCs w:val="22"/>
        </w:rPr>
        <w:t xml:space="preserve"> formula year, hence it is actual data</w:t>
      </w:r>
      <w:r w:rsidR="00550607" w:rsidRPr="00550607">
        <w:rPr>
          <w:sz w:val="22"/>
          <w:szCs w:val="22"/>
        </w:rPr>
        <w:t>.</w:t>
      </w:r>
      <w:r w:rsidR="00CD7469">
        <w:rPr>
          <w:sz w:val="22"/>
          <w:szCs w:val="22"/>
        </w:rPr>
        <w:t xml:space="preserve"> The </w:t>
      </w:r>
      <w:r w:rsidR="00550607" w:rsidRPr="00550607">
        <w:rPr>
          <w:sz w:val="22"/>
          <w:szCs w:val="22"/>
        </w:rPr>
        <w:t>A</w:t>
      </w:r>
      <w:r w:rsidR="003D5A79">
        <w:rPr>
          <w:sz w:val="22"/>
          <w:szCs w:val="22"/>
        </w:rPr>
        <w:t>nnual Monthly System Entry Capacity (AMSEC)</w:t>
      </w:r>
      <w:r w:rsidR="00550607" w:rsidRPr="00550607">
        <w:rPr>
          <w:sz w:val="22"/>
          <w:szCs w:val="22"/>
        </w:rPr>
        <w:t xml:space="preserve"> </w:t>
      </w:r>
      <w:r w:rsidR="00CD7469">
        <w:rPr>
          <w:sz w:val="22"/>
          <w:szCs w:val="22"/>
        </w:rPr>
        <w:t xml:space="preserve">auction </w:t>
      </w:r>
      <w:r w:rsidR="00550607" w:rsidRPr="00550607">
        <w:rPr>
          <w:sz w:val="22"/>
          <w:szCs w:val="22"/>
        </w:rPr>
        <w:t xml:space="preserve">sells </w:t>
      </w:r>
      <w:r w:rsidR="00CD7469">
        <w:rPr>
          <w:sz w:val="22"/>
          <w:szCs w:val="22"/>
        </w:rPr>
        <w:t xml:space="preserve">capacity </w:t>
      </w:r>
      <w:r w:rsidR="003D5A79">
        <w:rPr>
          <w:sz w:val="22"/>
          <w:szCs w:val="22"/>
        </w:rPr>
        <w:t>for capacity year+1 to capacity year+2</w:t>
      </w:r>
      <w:r w:rsidR="008F27C5">
        <w:rPr>
          <w:sz w:val="22"/>
          <w:szCs w:val="22"/>
        </w:rPr>
        <w:t>. AMSEC 20</w:t>
      </w:r>
      <w:r w:rsidR="00844F9E">
        <w:rPr>
          <w:sz w:val="22"/>
          <w:szCs w:val="22"/>
        </w:rPr>
        <w:t>1</w:t>
      </w:r>
      <w:r w:rsidR="001E4EF6">
        <w:rPr>
          <w:sz w:val="22"/>
          <w:szCs w:val="22"/>
        </w:rPr>
        <w:t>6</w:t>
      </w:r>
      <w:r w:rsidR="008F27C5">
        <w:rPr>
          <w:sz w:val="22"/>
          <w:szCs w:val="22"/>
        </w:rPr>
        <w:t xml:space="preserve"> and AMSEC 20</w:t>
      </w:r>
      <w:r w:rsidR="00844F9E">
        <w:rPr>
          <w:sz w:val="22"/>
          <w:szCs w:val="22"/>
        </w:rPr>
        <w:t>1</w:t>
      </w:r>
      <w:r w:rsidR="001E4EF6">
        <w:rPr>
          <w:sz w:val="22"/>
          <w:szCs w:val="22"/>
        </w:rPr>
        <w:t>7</w:t>
      </w:r>
      <w:r w:rsidR="008F27C5">
        <w:rPr>
          <w:sz w:val="22"/>
          <w:szCs w:val="22"/>
        </w:rPr>
        <w:t xml:space="preserve"> will have therefore sold capacity for the 20</w:t>
      </w:r>
      <w:r w:rsidR="00844F9E">
        <w:rPr>
          <w:sz w:val="22"/>
          <w:szCs w:val="22"/>
        </w:rPr>
        <w:t>1</w:t>
      </w:r>
      <w:r w:rsidR="001E4EF6">
        <w:rPr>
          <w:sz w:val="22"/>
          <w:szCs w:val="22"/>
        </w:rPr>
        <w:t>7</w:t>
      </w:r>
      <w:r w:rsidR="008F27C5">
        <w:rPr>
          <w:sz w:val="22"/>
          <w:szCs w:val="22"/>
        </w:rPr>
        <w:t>/</w:t>
      </w:r>
      <w:r w:rsidR="007E0186">
        <w:rPr>
          <w:sz w:val="22"/>
          <w:szCs w:val="22"/>
        </w:rPr>
        <w:t>1</w:t>
      </w:r>
      <w:r w:rsidR="001E4EF6">
        <w:rPr>
          <w:sz w:val="22"/>
          <w:szCs w:val="22"/>
        </w:rPr>
        <w:t>8</w:t>
      </w:r>
      <w:r w:rsidR="008F27C5">
        <w:rPr>
          <w:sz w:val="22"/>
          <w:szCs w:val="22"/>
        </w:rPr>
        <w:t xml:space="preserve"> formula year.</w:t>
      </w:r>
      <w:r w:rsidR="004518DE">
        <w:rPr>
          <w:sz w:val="22"/>
          <w:szCs w:val="22"/>
        </w:rPr>
        <w:t xml:space="preserve">  </w:t>
      </w:r>
      <w:r w:rsidR="00B14568">
        <w:rPr>
          <w:sz w:val="22"/>
          <w:szCs w:val="22"/>
        </w:rPr>
        <w:t xml:space="preserve">To </w:t>
      </w:r>
      <w:r>
        <w:rPr>
          <w:sz w:val="22"/>
          <w:szCs w:val="22"/>
        </w:rPr>
        <w:t>set</w:t>
      </w:r>
      <w:r w:rsidR="00B145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9D67C2">
        <w:rPr>
          <w:sz w:val="22"/>
          <w:szCs w:val="22"/>
        </w:rPr>
        <w:t>TO Entry Commodity</w:t>
      </w:r>
      <w:r>
        <w:rPr>
          <w:sz w:val="22"/>
          <w:szCs w:val="22"/>
        </w:rPr>
        <w:t xml:space="preserve">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 xml:space="preserve"> to apply from April, </w:t>
      </w:r>
      <w:r w:rsidR="00781DE3">
        <w:rPr>
          <w:sz w:val="22"/>
          <w:szCs w:val="22"/>
        </w:rPr>
        <w:t xml:space="preserve">revenue from </w:t>
      </w:r>
      <w:r>
        <w:rPr>
          <w:sz w:val="22"/>
          <w:szCs w:val="22"/>
        </w:rPr>
        <w:t xml:space="preserve">one </w:t>
      </w:r>
      <w:r w:rsidR="00781DE3">
        <w:rPr>
          <w:sz w:val="22"/>
          <w:szCs w:val="22"/>
        </w:rPr>
        <w:t xml:space="preserve">AMSEC auction </w:t>
      </w:r>
      <w:r>
        <w:rPr>
          <w:sz w:val="22"/>
          <w:szCs w:val="22"/>
        </w:rPr>
        <w:t xml:space="preserve">will be </w:t>
      </w:r>
      <w:r w:rsidR="002100A9">
        <w:rPr>
          <w:sz w:val="22"/>
          <w:szCs w:val="22"/>
        </w:rPr>
        <w:t>based on actual auction results</w:t>
      </w:r>
      <w:r>
        <w:rPr>
          <w:sz w:val="22"/>
          <w:szCs w:val="22"/>
        </w:rPr>
        <w:t xml:space="preserve"> and the other based on forecast data</w:t>
      </w:r>
      <w:r w:rsidR="008F27C5">
        <w:rPr>
          <w:sz w:val="22"/>
          <w:szCs w:val="22"/>
        </w:rPr>
        <w:t xml:space="preserve"> (as </w:t>
      </w:r>
      <w:r w:rsidR="005833EB">
        <w:rPr>
          <w:sz w:val="22"/>
          <w:szCs w:val="22"/>
        </w:rPr>
        <w:t>charge</w:t>
      </w:r>
      <w:r w:rsidR="008F27C5">
        <w:rPr>
          <w:sz w:val="22"/>
          <w:szCs w:val="22"/>
        </w:rPr>
        <w:t>s</w:t>
      </w:r>
      <w:r w:rsidR="005A0FAA">
        <w:rPr>
          <w:sz w:val="22"/>
          <w:szCs w:val="22"/>
        </w:rPr>
        <w:t xml:space="preserve"> set in April</w:t>
      </w:r>
      <w:r w:rsidR="008F27C5">
        <w:rPr>
          <w:sz w:val="22"/>
          <w:szCs w:val="22"/>
        </w:rPr>
        <w:t xml:space="preserve"> will be set before the actual AMSEC auction is held)</w:t>
      </w:r>
      <w:r w:rsidR="004518DE">
        <w:rPr>
          <w:sz w:val="22"/>
          <w:szCs w:val="22"/>
        </w:rPr>
        <w:t>.</w:t>
      </w:r>
      <w:r w:rsidR="009B4A6B">
        <w:rPr>
          <w:sz w:val="22"/>
          <w:szCs w:val="22"/>
        </w:rPr>
        <w:t xml:space="preserve">  Actuals for </w:t>
      </w:r>
      <w:r w:rsidR="00781DE3">
        <w:rPr>
          <w:sz w:val="22"/>
          <w:szCs w:val="22"/>
        </w:rPr>
        <w:t xml:space="preserve">both </w:t>
      </w:r>
      <w:r w:rsidR="009B4A6B">
        <w:rPr>
          <w:sz w:val="22"/>
          <w:szCs w:val="22"/>
        </w:rPr>
        <w:t>the AMSEC auction</w:t>
      </w:r>
      <w:r w:rsidR="00781DE3">
        <w:rPr>
          <w:sz w:val="22"/>
          <w:szCs w:val="22"/>
        </w:rPr>
        <w:t>s</w:t>
      </w:r>
      <w:r w:rsidR="009B4A6B">
        <w:rPr>
          <w:sz w:val="22"/>
          <w:szCs w:val="22"/>
        </w:rPr>
        <w:t xml:space="preserve"> </w:t>
      </w:r>
      <w:r w:rsidR="008D42E4">
        <w:rPr>
          <w:sz w:val="22"/>
          <w:szCs w:val="22"/>
        </w:rPr>
        <w:t>are</w:t>
      </w:r>
      <w:r w:rsidR="009B4A6B">
        <w:rPr>
          <w:sz w:val="22"/>
          <w:szCs w:val="22"/>
        </w:rPr>
        <w:t xml:space="preserve"> available for the October price changes.</w:t>
      </w:r>
    </w:p>
    <w:p w:rsidR="004518DE" w:rsidRDefault="004518DE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2D7672" w:rsidRDefault="00B04F8B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Where forecast auction revenues are required, this </w:t>
      </w:r>
      <w:r w:rsidR="009B4A6B">
        <w:rPr>
          <w:sz w:val="22"/>
          <w:szCs w:val="22"/>
        </w:rPr>
        <w:t>will</w:t>
      </w:r>
      <w:r>
        <w:rPr>
          <w:sz w:val="22"/>
          <w:szCs w:val="22"/>
        </w:rPr>
        <w:t xml:space="preserve"> t</w:t>
      </w:r>
      <w:r w:rsidR="00CD7469">
        <w:rPr>
          <w:sz w:val="22"/>
          <w:szCs w:val="22"/>
        </w:rPr>
        <w:t xml:space="preserve">ypically </w:t>
      </w:r>
      <w:r w:rsidR="009B4A6B">
        <w:rPr>
          <w:sz w:val="22"/>
          <w:szCs w:val="22"/>
        </w:rPr>
        <w:t xml:space="preserve">be </w:t>
      </w:r>
      <w:r w:rsidR="00CD7469">
        <w:rPr>
          <w:sz w:val="22"/>
          <w:szCs w:val="22"/>
        </w:rPr>
        <w:t xml:space="preserve">based on the </w:t>
      </w:r>
      <w:r w:rsidR="00BB4667">
        <w:rPr>
          <w:sz w:val="22"/>
          <w:szCs w:val="22"/>
        </w:rPr>
        <w:t xml:space="preserve">actual </w:t>
      </w:r>
      <w:r w:rsidR="00CD7469">
        <w:rPr>
          <w:sz w:val="22"/>
          <w:szCs w:val="22"/>
        </w:rPr>
        <w:t xml:space="preserve">revenues generated from the </w:t>
      </w:r>
      <w:r>
        <w:rPr>
          <w:sz w:val="22"/>
          <w:szCs w:val="22"/>
        </w:rPr>
        <w:t>same</w:t>
      </w:r>
      <w:r w:rsidR="00CD7469">
        <w:rPr>
          <w:sz w:val="22"/>
          <w:szCs w:val="22"/>
        </w:rPr>
        <w:t xml:space="preserve"> auction </w:t>
      </w:r>
      <w:r>
        <w:rPr>
          <w:sz w:val="22"/>
          <w:szCs w:val="22"/>
        </w:rPr>
        <w:t xml:space="preserve">held </w:t>
      </w:r>
      <w:r w:rsidR="00CD7469">
        <w:rPr>
          <w:sz w:val="22"/>
          <w:szCs w:val="22"/>
        </w:rPr>
        <w:t>the pre</w:t>
      </w:r>
      <w:r>
        <w:rPr>
          <w:sz w:val="22"/>
          <w:szCs w:val="22"/>
        </w:rPr>
        <w:t xml:space="preserve">vious </w:t>
      </w:r>
      <w:r w:rsidR="00CD7469">
        <w:rPr>
          <w:sz w:val="22"/>
          <w:szCs w:val="22"/>
        </w:rPr>
        <w:t>year</w:t>
      </w:r>
      <w:r w:rsidR="002D7672">
        <w:rPr>
          <w:sz w:val="22"/>
          <w:szCs w:val="22"/>
        </w:rPr>
        <w:t xml:space="preserve"> unless National Grid receives better information from shippers</w:t>
      </w:r>
      <w:r w:rsidR="00BB4667">
        <w:rPr>
          <w:sz w:val="22"/>
          <w:szCs w:val="22"/>
        </w:rPr>
        <w:t xml:space="preserve">. </w:t>
      </w:r>
      <w:r w:rsidR="002D7672">
        <w:rPr>
          <w:sz w:val="22"/>
          <w:szCs w:val="22"/>
        </w:rPr>
        <w:t>Shippers should note this is not always reliable particularly at times of regime change when shippers may adopt different bidding strategies.</w:t>
      </w:r>
    </w:p>
    <w:p w:rsidR="002D7672" w:rsidRDefault="002D7672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550607" w:rsidRDefault="00BB4667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="002D7672">
        <w:rPr>
          <w:sz w:val="22"/>
          <w:szCs w:val="22"/>
        </w:rPr>
        <w:t>the</w:t>
      </w:r>
      <w:r w:rsidR="00B049BF">
        <w:rPr>
          <w:sz w:val="22"/>
          <w:szCs w:val="22"/>
        </w:rPr>
        <w:t xml:space="preserve"> </w:t>
      </w:r>
      <w:proofErr w:type="gramStart"/>
      <w:r w:rsidR="00B049BF">
        <w:rPr>
          <w:sz w:val="22"/>
          <w:szCs w:val="22"/>
        </w:rPr>
        <w:t>Rolling</w:t>
      </w:r>
      <w:proofErr w:type="gramEnd"/>
      <w:r w:rsidR="00B049BF">
        <w:rPr>
          <w:sz w:val="22"/>
          <w:szCs w:val="22"/>
        </w:rPr>
        <w:t xml:space="preserve"> Monthly </w:t>
      </w:r>
      <w:r w:rsidR="005514F4">
        <w:rPr>
          <w:sz w:val="22"/>
          <w:szCs w:val="22"/>
        </w:rPr>
        <w:t xml:space="preserve">Trades &amp; Transfer </w:t>
      </w:r>
      <w:r w:rsidR="00B049BF">
        <w:rPr>
          <w:sz w:val="22"/>
          <w:szCs w:val="22"/>
        </w:rPr>
        <w:t>System Entry Capacity (RM</w:t>
      </w:r>
      <w:r w:rsidR="005514F4">
        <w:rPr>
          <w:sz w:val="22"/>
          <w:szCs w:val="22"/>
        </w:rPr>
        <w:t>TNT</w:t>
      </w:r>
      <w:r w:rsidR="00B049BF">
        <w:rPr>
          <w:sz w:val="22"/>
          <w:szCs w:val="22"/>
        </w:rPr>
        <w:t>SEC)</w:t>
      </w:r>
      <w:r w:rsidR="002D7672">
        <w:rPr>
          <w:sz w:val="22"/>
          <w:szCs w:val="22"/>
        </w:rPr>
        <w:t xml:space="preserve"> and </w:t>
      </w:r>
      <w:r w:rsidR="009751BB">
        <w:rPr>
          <w:sz w:val="22"/>
          <w:szCs w:val="22"/>
        </w:rPr>
        <w:t>Day Ahead Daily System Entry Capacity (</w:t>
      </w:r>
      <w:r w:rsidR="002D7672">
        <w:rPr>
          <w:sz w:val="22"/>
          <w:szCs w:val="22"/>
        </w:rPr>
        <w:t>DADSEC</w:t>
      </w:r>
      <w:r w:rsidR="009751BB">
        <w:rPr>
          <w:sz w:val="22"/>
          <w:szCs w:val="22"/>
        </w:rPr>
        <w:t>)</w:t>
      </w:r>
      <w:r>
        <w:rPr>
          <w:sz w:val="22"/>
          <w:szCs w:val="22"/>
        </w:rPr>
        <w:t xml:space="preserve"> auction revenues</w:t>
      </w:r>
      <w:r w:rsidR="005514F4">
        <w:rPr>
          <w:sz w:val="22"/>
          <w:szCs w:val="22"/>
        </w:rPr>
        <w:t>,</w:t>
      </w:r>
      <w:r>
        <w:rPr>
          <w:sz w:val="22"/>
          <w:szCs w:val="22"/>
        </w:rPr>
        <w:t xml:space="preserve"> the final total </w:t>
      </w:r>
      <w:r w:rsidR="002D7672">
        <w:rPr>
          <w:sz w:val="22"/>
          <w:szCs w:val="22"/>
        </w:rPr>
        <w:t>is</w:t>
      </w:r>
      <w:r>
        <w:rPr>
          <w:sz w:val="22"/>
          <w:szCs w:val="22"/>
        </w:rPr>
        <w:t xml:space="preserve"> forecasted</w:t>
      </w:r>
      <w:r w:rsidR="002D7672">
        <w:rPr>
          <w:sz w:val="22"/>
          <w:szCs w:val="22"/>
        </w:rPr>
        <w:t xml:space="preserve"> </w:t>
      </w:r>
      <w:r w:rsidR="008D42E4">
        <w:rPr>
          <w:sz w:val="22"/>
          <w:szCs w:val="22"/>
        </w:rPr>
        <w:t xml:space="preserve">for April price changes </w:t>
      </w:r>
      <w:r w:rsidR="002D7672">
        <w:rPr>
          <w:sz w:val="22"/>
          <w:szCs w:val="22"/>
        </w:rPr>
        <w:t>(historically negligible change is seen between forecast and actual)</w:t>
      </w:r>
      <w:r>
        <w:rPr>
          <w:sz w:val="22"/>
          <w:szCs w:val="22"/>
        </w:rPr>
        <w:t xml:space="preserve">, as </w:t>
      </w:r>
      <w:r w:rsidR="002D7672">
        <w:rPr>
          <w:sz w:val="22"/>
          <w:szCs w:val="22"/>
        </w:rPr>
        <w:t xml:space="preserve">at the point </w:t>
      </w:r>
      <w:r w:rsidR="008D42E4">
        <w:rPr>
          <w:sz w:val="22"/>
          <w:szCs w:val="22"/>
        </w:rPr>
        <w:t xml:space="preserve">when </w:t>
      </w:r>
      <w:r w:rsidR="005833EB">
        <w:rPr>
          <w:sz w:val="22"/>
          <w:szCs w:val="22"/>
        </w:rPr>
        <w:t>charge</w:t>
      </w:r>
      <w:r w:rsidR="008D42E4">
        <w:rPr>
          <w:sz w:val="22"/>
          <w:szCs w:val="22"/>
        </w:rPr>
        <w:t>s are finalised</w:t>
      </w:r>
      <w:r>
        <w:rPr>
          <w:sz w:val="22"/>
          <w:szCs w:val="22"/>
        </w:rPr>
        <w:t xml:space="preserve"> </w:t>
      </w:r>
      <w:r w:rsidR="002D7672">
        <w:rPr>
          <w:sz w:val="22"/>
          <w:szCs w:val="22"/>
        </w:rPr>
        <w:t xml:space="preserve">further auction revenue will be collected. </w:t>
      </w:r>
      <w:r w:rsidR="00B04F8B">
        <w:rPr>
          <w:sz w:val="22"/>
          <w:szCs w:val="22"/>
        </w:rPr>
        <w:t xml:space="preserve"> </w:t>
      </w:r>
    </w:p>
    <w:p w:rsidR="00CD7469" w:rsidRPr="009008CC" w:rsidRDefault="00CD7469" w:rsidP="00E84004">
      <w:pPr>
        <w:tabs>
          <w:tab w:val="left" w:pos="142"/>
        </w:tabs>
        <w:ind w:left="-567" w:right="-312"/>
        <w:rPr>
          <w:color w:val="0070C0"/>
          <w:sz w:val="22"/>
          <w:szCs w:val="22"/>
        </w:rPr>
      </w:pPr>
    </w:p>
    <w:p w:rsidR="00041A71" w:rsidRPr="00AF199F" w:rsidRDefault="00781DE3" w:rsidP="00E84004">
      <w:pPr>
        <w:tabs>
          <w:tab w:val="left" w:pos="142"/>
        </w:tabs>
        <w:ind w:left="-567" w:right="-312"/>
        <w:rPr>
          <w:color w:val="C0504D"/>
          <w:sz w:val="18"/>
          <w:szCs w:val="18"/>
        </w:rPr>
      </w:pPr>
      <w:r w:rsidRPr="00AF199F">
        <w:rPr>
          <w:b/>
          <w:color w:val="C0504D"/>
          <w:sz w:val="22"/>
          <w:szCs w:val="22"/>
        </w:rPr>
        <w:t>Table 10</w:t>
      </w:r>
      <w:r w:rsidRPr="00AF199F">
        <w:rPr>
          <w:color w:val="C0504D"/>
          <w:sz w:val="22"/>
          <w:szCs w:val="22"/>
        </w:rPr>
        <w:t xml:space="preserve"> </w:t>
      </w:r>
      <w:r w:rsidR="00B04F8B" w:rsidRPr="00AF199F">
        <w:rPr>
          <w:color w:val="C0504D"/>
          <w:sz w:val="22"/>
          <w:szCs w:val="22"/>
        </w:rPr>
        <w:t xml:space="preserve">shows the </w:t>
      </w:r>
      <w:r w:rsidR="00BB4667" w:rsidRPr="00AF199F">
        <w:rPr>
          <w:color w:val="C0504D"/>
          <w:sz w:val="22"/>
          <w:szCs w:val="22"/>
        </w:rPr>
        <w:t xml:space="preserve">auction revenue </w:t>
      </w:r>
      <w:r w:rsidR="00B04F8B" w:rsidRPr="00AF199F">
        <w:rPr>
          <w:color w:val="C0504D"/>
          <w:sz w:val="22"/>
          <w:szCs w:val="22"/>
        </w:rPr>
        <w:t xml:space="preserve">assumptions used </w:t>
      </w:r>
      <w:r w:rsidR="00BB4667" w:rsidRPr="00AF199F">
        <w:rPr>
          <w:color w:val="C0504D"/>
          <w:sz w:val="22"/>
          <w:szCs w:val="22"/>
        </w:rPr>
        <w:t xml:space="preserve">to set the final </w:t>
      </w:r>
      <w:r w:rsidR="00DE4E92" w:rsidRPr="00AF199F">
        <w:rPr>
          <w:color w:val="C0504D"/>
          <w:sz w:val="22"/>
          <w:szCs w:val="22"/>
        </w:rPr>
        <w:t>TO Entry Commodity</w:t>
      </w:r>
      <w:r w:rsidR="00BB4667" w:rsidRPr="00AF199F">
        <w:rPr>
          <w:color w:val="C0504D"/>
          <w:sz w:val="22"/>
          <w:szCs w:val="22"/>
        </w:rPr>
        <w:t xml:space="preserve"> </w:t>
      </w:r>
      <w:r w:rsidR="000214BE" w:rsidRPr="00D33BBE">
        <w:rPr>
          <w:color w:val="C0504D"/>
          <w:sz w:val="22"/>
          <w:szCs w:val="22"/>
        </w:rPr>
        <w:t>charge</w:t>
      </w:r>
      <w:r w:rsidR="00AD72EF" w:rsidRPr="00AF199F">
        <w:rPr>
          <w:color w:val="C0504D"/>
          <w:sz w:val="22"/>
          <w:szCs w:val="22"/>
        </w:rPr>
        <w:t xml:space="preserve"> during the relevant year</w:t>
      </w:r>
      <w:r w:rsidR="00B04F8B" w:rsidRPr="00AF199F">
        <w:rPr>
          <w:color w:val="C0504D"/>
          <w:sz w:val="22"/>
          <w:szCs w:val="22"/>
        </w:rPr>
        <w:t>.</w:t>
      </w:r>
      <w:r w:rsidR="009B4A6B" w:rsidRPr="00AF199F">
        <w:rPr>
          <w:color w:val="C0504D"/>
          <w:sz w:val="22"/>
          <w:szCs w:val="22"/>
        </w:rPr>
        <w:t xml:space="preserve">  </w:t>
      </w:r>
    </w:p>
    <w:p w:rsidR="00FD3A31" w:rsidRPr="00AF199F" w:rsidDel="00FD3A31" w:rsidRDefault="00FD3A31" w:rsidP="009008CC">
      <w:pPr>
        <w:tabs>
          <w:tab w:val="left" w:pos="142"/>
          <w:tab w:val="right" w:pos="7740"/>
        </w:tabs>
        <w:ind w:left="-567" w:right="-312"/>
        <w:rPr>
          <w:color w:val="C0504D"/>
        </w:rPr>
      </w:pPr>
    </w:p>
    <w:p w:rsidR="003D37C7" w:rsidRPr="00AF199F" w:rsidRDefault="006F003D" w:rsidP="00E84004">
      <w:pPr>
        <w:tabs>
          <w:tab w:val="left" w:pos="142"/>
        </w:tabs>
        <w:ind w:left="-567" w:right="-312"/>
        <w:rPr>
          <w:b/>
          <w:color w:val="C0504D"/>
          <w:sz w:val="22"/>
          <w:szCs w:val="22"/>
        </w:rPr>
      </w:pPr>
      <w:r w:rsidRPr="00AF199F">
        <w:rPr>
          <w:color w:val="C0504D"/>
          <w:sz w:val="22"/>
          <w:szCs w:val="22"/>
        </w:rPr>
        <w:t xml:space="preserve">The target </w:t>
      </w:r>
      <w:r w:rsidR="009D67C2" w:rsidRPr="00AF199F">
        <w:rPr>
          <w:color w:val="C0504D"/>
          <w:sz w:val="22"/>
          <w:szCs w:val="22"/>
        </w:rPr>
        <w:t>TO Entry Commodity</w:t>
      </w:r>
      <w:r w:rsidRPr="00AF199F">
        <w:rPr>
          <w:color w:val="C0504D"/>
          <w:sz w:val="22"/>
          <w:szCs w:val="22"/>
        </w:rPr>
        <w:t xml:space="preserve"> </w:t>
      </w:r>
      <w:r w:rsidR="000214BE" w:rsidRPr="00D33BBE">
        <w:rPr>
          <w:color w:val="C0504D"/>
          <w:sz w:val="22"/>
          <w:szCs w:val="22"/>
        </w:rPr>
        <w:t>charge</w:t>
      </w:r>
      <w:r w:rsidRPr="00AF199F">
        <w:rPr>
          <w:color w:val="C0504D"/>
          <w:sz w:val="22"/>
          <w:szCs w:val="22"/>
        </w:rPr>
        <w:t xml:space="preserve"> revenue is</w:t>
      </w:r>
      <w:r w:rsidR="003D37C7" w:rsidRPr="00AF199F">
        <w:rPr>
          <w:color w:val="C0504D"/>
          <w:sz w:val="22"/>
          <w:szCs w:val="22"/>
        </w:rPr>
        <w:t xml:space="preserve"> </w:t>
      </w:r>
      <w:r w:rsidR="00516881" w:rsidRPr="00AF199F">
        <w:rPr>
          <w:color w:val="C0504D"/>
          <w:sz w:val="22"/>
          <w:szCs w:val="22"/>
        </w:rPr>
        <w:t xml:space="preserve">calculated as shown by </w:t>
      </w:r>
      <w:r w:rsidR="00516881" w:rsidRPr="00AF199F">
        <w:rPr>
          <w:b/>
          <w:color w:val="C0504D"/>
          <w:sz w:val="22"/>
          <w:szCs w:val="22"/>
        </w:rPr>
        <w:t>Tables 11-13</w:t>
      </w:r>
      <w:r w:rsidR="00003B0B" w:rsidRPr="00AF199F">
        <w:rPr>
          <w:b/>
          <w:color w:val="C0504D"/>
          <w:sz w:val="22"/>
          <w:szCs w:val="22"/>
        </w:rPr>
        <w:t>.</w:t>
      </w:r>
    </w:p>
    <w:p w:rsidR="006F003D" w:rsidRPr="00AF199F" w:rsidRDefault="006F003D" w:rsidP="00E84004">
      <w:pPr>
        <w:tabs>
          <w:tab w:val="left" w:pos="142"/>
        </w:tabs>
        <w:ind w:left="-567" w:right="-312"/>
        <w:rPr>
          <w:color w:val="C0504D"/>
          <w:sz w:val="22"/>
          <w:szCs w:val="22"/>
        </w:rPr>
      </w:pPr>
    </w:p>
    <w:p w:rsidR="007B4ADE" w:rsidRPr="00AF199F" w:rsidRDefault="00516881" w:rsidP="00E84004">
      <w:pPr>
        <w:tabs>
          <w:tab w:val="left" w:pos="142"/>
        </w:tabs>
        <w:ind w:left="-567" w:right="-312"/>
        <w:rPr>
          <w:color w:val="C0504D"/>
          <w:sz w:val="22"/>
          <w:szCs w:val="22"/>
        </w:rPr>
      </w:pPr>
      <w:r w:rsidRPr="00AF199F">
        <w:rPr>
          <w:color w:val="C0504D"/>
          <w:sz w:val="22"/>
          <w:szCs w:val="22"/>
        </w:rPr>
        <w:t>T</w:t>
      </w:r>
      <w:r w:rsidR="007B4ADE" w:rsidRPr="00AF199F">
        <w:rPr>
          <w:color w:val="C0504D"/>
          <w:sz w:val="22"/>
          <w:szCs w:val="22"/>
        </w:rPr>
        <w:t>he purpose of</w:t>
      </w:r>
      <w:r w:rsidRPr="00AF199F">
        <w:rPr>
          <w:color w:val="C0504D"/>
          <w:sz w:val="22"/>
          <w:szCs w:val="22"/>
        </w:rPr>
        <w:t xml:space="preserve"> </w:t>
      </w:r>
      <w:r w:rsidR="00003B0B" w:rsidRPr="00AF199F">
        <w:rPr>
          <w:b/>
          <w:color w:val="C0504D"/>
          <w:sz w:val="22"/>
          <w:szCs w:val="22"/>
        </w:rPr>
        <w:t>T</w:t>
      </w:r>
      <w:r w:rsidRPr="00AF199F">
        <w:rPr>
          <w:b/>
          <w:color w:val="C0504D"/>
          <w:sz w:val="22"/>
          <w:szCs w:val="22"/>
        </w:rPr>
        <w:t>able</w:t>
      </w:r>
      <w:r w:rsidR="007B4ADE" w:rsidRPr="00AF199F">
        <w:rPr>
          <w:b/>
          <w:color w:val="C0504D"/>
          <w:sz w:val="22"/>
          <w:szCs w:val="22"/>
        </w:rPr>
        <w:t xml:space="preserve"> </w:t>
      </w:r>
      <w:r w:rsidR="00003B0B" w:rsidRPr="00AF199F">
        <w:rPr>
          <w:b/>
          <w:color w:val="C0504D"/>
          <w:sz w:val="22"/>
          <w:szCs w:val="22"/>
        </w:rPr>
        <w:t>11</w:t>
      </w:r>
      <w:r w:rsidR="00003B0B" w:rsidRPr="00AF199F">
        <w:rPr>
          <w:color w:val="C0504D"/>
          <w:sz w:val="22"/>
          <w:szCs w:val="22"/>
        </w:rPr>
        <w:t xml:space="preserve"> </w:t>
      </w:r>
      <w:r w:rsidR="007B4ADE" w:rsidRPr="00AF199F">
        <w:rPr>
          <w:color w:val="C0504D"/>
          <w:sz w:val="22"/>
          <w:szCs w:val="22"/>
        </w:rPr>
        <w:t>is to remove K</w:t>
      </w:r>
      <w:r w:rsidR="007B4ADE" w:rsidRPr="00AF199F">
        <w:rPr>
          <w:color w:val="C0504D"/>
          <w:sz w:val="22"/>
          <w:szCs w:val="22"/>
          <w:vertAlign w:val="subscript"/>
        </w:rPr>
        <w:t>t</w:t>
      </w:r>
      <w:r w:rsidR="007B4ADE" w:rsidRPr="00AF199F">
        <w:rPr>
          <w:color w:val="C0504D"/>
          <w:sz w:val="22"/>
          <w:szCs w:val="22"/>
        </w:rPr>
        <w:t xml:space="preserve"> which forms part of the overall MR</w:t>
      </w:r>
      <w:r w:rsidR="007B4ADE" w:rsidRPr="00AF199F">
        <w:rPr>
          <w:color w:val="C0504D"/>
          <w:sz w:val="22"/>
          <w:szCs w:val="22"/>
          <w:vertAlign w:val="subscript"/>
        </w:rPr>
        <w:t>t</w:t>
      </w:r>
      <w:r w:rsidR="00B9386C" w:rsidRPr="00AF199F">
        <w:rPr>
          <w:color w:val="C0504D"/>
          <w:sz w:val="22"/>
          <w:szCs w:val="22"/>
        </w:rPr>
        <w:t xml:space="preserve">. This </w:t>
      </w:r>
      <w:r w:rsidR="007B4ADE" w:rsidRPr="00AF199F">
        <w:rPr>
          <w:color w:val="C0504D"/>
          <w:sz w:val="22"/>
          <w:szCs w:val="22"/>
        </w:rPr>
        <w:t>allow</w:t>
      </w:r>
      <w:r w:rsidR="00B9386C" w:rsidRPr="00AF199F">
        <w:rPr>
          <w:color w:val="C0504D"/>
          <w:sz w:val="22"/>
          <w:szCs w:val="22"/>
        </w:rPr>
        <w:t>s</w:t>
      </w:r>
      <w:r w:rsidR="007B4ADE" w:rsidRPr="00AF199F">
        <w:rPr>
          <w:color w:val="C0504D"/>
          <w:sz w:val="22"/>
          <w:szCs w:val="22"/>
        </w:rPr>
        <w:t xml:space="preserve"> the individual Entry and Exit K's to be applied, and </w:t>
      </w:r>
      <w:r w:rsidR="00B9386C" w:rsidRPr="00AF199F">
        <w:rPr>
          <w:color w:val="C0504D"/>
          <w:sz w:val="22"/>
          <w:szCs w:val="22"/>
        </w:rPr>
        <w:t xml:space="preserve">subsequently </w:t>
      </w:r>
      <w:r w:rsidR="007B4ADE" w:rsidRPr="00AF199F">
        <w:rPr>
          <w:color w:val="C0504D"/>
          <w:sz w:val="22"/>
          <w:szCs w:val="22"/>
        </w:rPr>
        <w:t xml:space="preserve">the amount of revenue to be collected from Entry and Exit </w:t>
      </w:r>
      <w:r w:rsidR="005833EB" w:rsidRPr="00D33BBE">
        <w:rPr>
          <w:color w:val="C0504D"/>
          <w:sz w:val="22"/>
          <w:szCs w:val="22"/>
        </w:rPr>
        <w:t>charge</w:t>
      </w:r>
      <w:r w:rsidR="007B4ADE" w:rsidRPr="00AF199F">
        <w:rPr>
          <w:color w:val="C0504D"/>
          <w:sz w:val="22"/>
          <w:szCs w:val="22"/>
        </w:rPr>
        <w:t>s for th</w:t>
      </w:r>
      <w:r w:rsidR="00B9386C" w:rsidRPr="00AF199F">
        <w:rPr>
          <w:color w:val="C0504D"/>
          <w:sz w:val="22"/>
          <w:szCs w:val="22"/>
        </w:rPr>
        <w:t>e year to be calculated accurat</w:t>
      </w:r>
      <w:r w:rsidR="007B4ADE" w:rsidRPr="00AF199F">
        <w:rPr>
          <w:color w:val="C0504D"/>
          <w:sz w:val="22"/>
          <w:szCs w:val="22"/>
        </w:rPr>
        <w:t>ely</w:t>
      </w:r>
      <w:r w:rsidRPr="00AF199F">
        <w:rPr>
          <w:color w:val="C0504D"/>
          <w:sz w:val="22"/>
          <w:szCs w:val="22"/>
        </w:rPr>
        <w:t xml:space="preserve"> as shown in </w:t>
      </w:r>
      <w:r w:rsidRPr="00AF199F">
        <w:rPr>
          <w:b/>
          <w:color w:val="C0504D"/>
          <w:sz w:val="22"/>
          <w:szCs w:val="22"/>
        </w:rPr>
        <w:t>Table 12</w:t>
      </w:r>
      <w:r w:rsidR="00B9386C" w:rsidRPr="00AF199F">
        <w:rPr>
          <w:b/>
          <w:color w:val="C0504D"/>
          <w:sz w:val="22"/>
          <w:szCs w:val="22"/>
        </w:rPr>
        <w:t>.</w:t>
      </w:r>
    </w:p>
    <w:p w:rsidR="00D47C41" w:rsidRPr="00AF199F" w:rsidRDefault="007F2DAA" w:rsidP="00E84004">
      <w:pPr>
        <w:tabs>
          <w:tab w:val="left" w:pos="142"/>
        </w:tabs>
        <w:ind w:left="-567" w:right="-312"/>
        <w:rPr>
          <w:color w:val="C0504D"/>
          <w:sz w:val="22"/>
          <w:szCs w:val="22"/>
        </w:rPr>
      </w:pPr>
      <w:r w:rsidRPr="00AF199F">
        <w:rPr>
          <w:color w:val="C0504D"/>
          <w:sz w:val="22"/>
          <w:szCs w:val="22"/>
        </w:rPr>
        <w:t xml:space="preserve"> </w:t>
      </w:r>
    </w:p>
    <w:p w:rsidR="00A91C72" w:rsidRPr="00AF199F" w:rsidRDefault="00A91C72" w:rsidP="00E84004">
      <w:pPr>
        <w:tabs>
          <w:tab w:val="left" w:pos="142"/>
        </w:tabs>
        <w:ind w:left="-567" w:right="-312"/>
        <w:rPr>
          <w:color w:val="C0504D"/>
          <w:sz w:val="22"/>
          <w:szCs w:val="22"/>
        </w:rPr>
      </w:pPr>
      <w:r w:rsidRPr="00AF199F">
        <w:rPr>
          <w:color w:val="C0504D"/>
          <w:sz w:val="22"/>
          <w:szCs w:val="22"/>
        </w:rPr>
        <w:t xml:space="preserve">Now that the Individual Entry K has been applied, revenue collected from TO Capacity Auctions is deducted to leave the remaining TO Entry Allowed revenue, which is collected through the </w:t>
      </w:r>
      <w:r w:rsidR="009D67C2" w:rsidRPr="00AF199F">
        <w:rPr>
          <w:color w:val="C0504D"/>
          <w:sz w:val="22"/>
          <w:szCs w:val="22"/>
        </w:rPr>
        <w:t>TO Entry Commodity</w:t>
      </w:r>
      <w:r w:rsidRPr="00AF199F">
        <w:rPr>
          <w:color w:val="C0504D"/>
          <w:sz w:val="22"/>
          <w:szCs w:val="22"/>
        </w:rPr>
        <w:t xml:space="preserve"> </w:t>
      </w:r>
      <w:r w:rsidR="000214BE" w:rsidRPr="00D33BBE">
        <w:rPr>
          <w:color w:val="C0504D"/>
          <w:sz w:val="22"/>
          <w:szCs w:val="22"/>
        </w:rPr>
        <w:t>charge</w:t>
      </w:r>
      <w:r w:rsidRPr="00AF199F">
        <w:rPr>
          <w:color w:val="C0504D"/>
          <w:sz w:val="22"/>
          <w:szCs w:val="22"/>
        </w:rPr>
        <w:t xml:space="preserve"> as shown in </w:t>
      </w:r>
      <w:r w:rsidRPr="00AF199F">
        <w:rPr>
          <w:b/>
          <w:color w:val="C0504D"/>
          <w:sz w:val="22"/>
          <w:szCs w:val="22"/>
        </w:rPr>
        <w:t>Table 13</w:t>
      </w:r>
      <w:r w:rsidR="00003B0B" w:rsidRPr="00AF199F">
        <w:rPr>
          <w:b/>
          <w:color w:val="C0504D"/>
          <w:sz w:val="22"/>
          <w:szCs w:val="22"/>
        </w:rPr>
        <w:t>.</w:t>
      </w:r>
    </w:p>
    <w:p w:rsidR="00FD3A31" w:rsidRPr="00AF199F" w:rsidDel="00FD3A31" w:rsidRDefault="007F2DAA" w:rsidP="00E84004">
      <w:pPr>
        <w:tabs>
          <w:tab w:val="left" w:pos="142"/>
        </w:tabs>
        <w:ind w:left="-567" w:right="-312"/>
        <w:rPr>
          <w:color w:val="C0504D"/>
        </w:rPr>
      </w:pPr>
      <w:r w:rsidRPr="00AF199F">
        <w:rPr>
          <w:color w:val="C0504D"/>
          <w:sz w:val="22"/>
          <w:szCs w:val="22"/>
        </w:rPr>
        <w:t xml:space="preserve"> </w:t>
      </w:r>
    </w:p>
    <w:p w:rsidR="00243CEF" w:rsidRPr="00AF199F" w:rsidRDefault="003D37C7" w:rsidP="00E84004">
      <w:pPr>
        <w:tabs>
          <w:tab w:val="left" w:pos="142"/>
        </w:tabs>
        <w:ind w:left="-567" w:right="-312"/>
        <w:rPr>
          <w:b/>
          <w:color w:val="C0504D"/>
          <w:sz w:val="22"/>
          <w:szCs w:val="22"/>
        </w:rPr>
      </w:pPr>
      <w:r w:rsidRPr="00AF199F">
        <w:rPr>
          <w:b/>
          <w:color w:val="C0504D"/>
          <w:sz w:val="22"/>
          <w:szCs w:val="22"/>
        </w:rPr>
        <w:t>Table 1</w:t>
      </w:r>
      <w:r w:rsidR="00A91C72" w:rsidRPr="00AF199F">
        <w:rPr>
          <w:b/>
          <w:color w:val="C0504D"/>
          <w:sz w:val="22"/>
          <w:szCs w:val="22"/>
        </w:rPr>
        <w:t>4</w:t>
      </w:r>
      <w:r w:rsidR="00243CEF" w:rsidRPr="00AF199F">
        <w:rPr>
          <w:color w:val="C0504D"/>
          <w:sz w:val="22"/>
          <w:szCs w:val="22"/>
        </w:rPr>
        <w:t xml:space="preserve"> detail</w:t>
      </w:r>
      <w:r w:rsidR="00A91C72" w:rsidRPr="00AF199F">
        <w:rPr>
          <w:color w:val="C0504D"/>
          <w:sz w:val="22"/>
          <w:szCs w:val="22"/>
        </w:rPr>
        <w:t>s</w:t>
      </w:r>
      <w:r w:rsidR="00243CEF" w:rsidRPr="00AF199F">
        <w:rPr>
          <w:color w:val="C0504D"/>
          <w:sz w:val="22"/>
          <w:szCs w:val="22"/>
        </w:rPr>
        <w:t xml:space="preserve"> how the target revenue to be collected through the </w:t>
      </w:r>
      <w:r w:rsidR="009D67C2" w:rsidRPr="00AF199F">
        <w:rPr>
          <w:color w:val="C0504D"/>
          <w:sz w:val="22"/>
          <w:szCs w:val="22"/>
        </w:rPr>
        <w:t>TO Entry Commodity</w:t>
      </w:r>
      <w:r w:rsidR="00243CEF" w:rsidRPr="00AF199F">
        <w:rPr>
          <w:color w:val="C0504D"/>
          <w:sz w:val="22"/>
          <w:szCs w:val="22"/>
        </w:rPr>
        <w:t xml:space="preserve"> </w:t>
      </w:r>
      <w:r w:rsidR="000214BE" w:rsidRPr="00D33BBE">
        <w:rPr>
          <w:color w:val="C0504D"/>
          <w:sz w:val="22"/>
          <w:szCs w:val="22"/>
        </w:rPr>
        <w:t>charge</w:t>
      </w:r>
      <w:r w:rsidR="00243CEF" w:rsidRPr="00AF199F">
        <w:rPr>
          <w:color w:val="C0504D"/>
          <w:sz w:val="22"/>
          <w:szCs w:val="22"/>
        </w:rPr>
        <w:t xml:space="preserve"> varie</w:t>
      </w:r>
      <w:r w:rsidR="008525D7" w:rsidRPr="00AF199F">
        <w:rPr>
          <w:color w:val="C0504D"/>
          <w:sz w:val="22"/>
          <w:szCs w:val="22"/>
        </w:rPr>
        <w:t>s</w:t>
      </w:r>
      <w:r w:rsidR="00243CEF" w:rsidRPr="00AF199F">
        <w:rPr>
          <w:color w:val="C0504D"/>
          <w:sz w:val="22"/>
          <w:szCs w:val="22"/>
        </w:rPr>
        <w:t xml:space="preserve"> during </w:t>
      </w:r>
      <w:r w:rsidR="00561C8D">
        <w:rPr>
          <w:color w:val="C0504D"/>
          <w:sz w:val="22"/>
          <w:szCs w:val="22"/>
        </w:rPr>
        <w:t>the formula year</w:t>
      </w:r>
      <w:r w:rsidR="00243CEF" w:rsidRPr="00AF199F">
        <w:rPr>
          <w:color w:val="C0504D"/>
          <w:sz w:val="22"/>
          <w:szCs w:val="22"/>
        </w:rPr>
        <w:t>.</w:t>
      </w:r>
    </w:p>
    <w:p w:rsidR="00243CEF" w:rsidRPr="008574BC" w:rsidRDefault="00243CEF" w:rsidP="00E84004">
      <w:pPr>
        <w:tabs>
          <w:tab w:val="left" w:pos="142"/>
        </w:tabs>
        <w:ind w:left="-567" w:right="-312"/>
        <w:rPr>
          <w:b/>
          <w:sz w:val="22"/>
          <w:szCs w:val="22"/>
        </w:rPr>
      </w:pPr>
    </w:p>
    <w:p w:rsidR="00550607" w:rsidRPr="00550607" w:rsidRDefault="00B858FE" w:rsidP="00AF199F">
      <w:pPr>
        <w:pStyle w:val="Heading3"/>
        <w:pBdr>
          <w:top w:val="single" w:sz="4" w:space="3" w:color="C0504D"/>
          <w:bottom w:val="single" w:sz="4" w:space="10" w:color="C0504D"/>
        </w:pBdr>
        <w:tabs>
          <w:tab w:val="left" w:pos="142"/>
        </w:tabs>
        <w:ind w:left="-567" w:right="-312"/>
      </w:pPr>
      <w:r w:rsidRPr="00AF199F">
        <w:rPr>
          <w:color w:val="C0504D"/>
        </w:rPr>
        <w:t xml:space="preserve">Step 3: </w:t>
      </w:r>
      <w:r w:rsidR="00550607" w:rsidRPr="00AF199F">
        <w:rPr>
          <w:color w:val="C0504D"/>
        </w:rPr>
        <w:t xml:space="preserve">Determining the volumes that attract the </w:t>
      </w:r>
      <w:r w:rsidR="009D67C2" w:rsidRPr="00AF199F">
        <w:rPr>
          <w:color w:val="C0504D"/>
        </w:rPr>
        <w:t>TO Entry Commodity</w:t>
      </w:r>
      <w:r w:rsidR="00550607" w:rsidRPr="00AF199F">
        <w:rPr>
          <w:color w:val="C0504D"/>
        </w:rPr>
        <w:t xml:space="preserve"> </w:t>
      </w:r>
      <w:r w:rsidR="000214BE" w:rsidRPr="00D33BBE">
        <w:rPr>
          <w:color w:val="C0504D"/>
        </w:rPr>
        <w:t>charge</w:t>
      </w:r>
      <w:r w:rsidR="009751BB" w:rsidRPr="00AF199F">
        <w:rPr>
          <w:color w:val="C0504D"/>
        </w:rPr>
        <w:t xml:space="preserve"> </w:t>
      </w:r>
    </w:p>
    <w:p w:rsidR="00550607" w:rsidRDefault="00550607" w:rsidP="00E84004">
      <w:pPr>
        <w:tabs>
          <w:tab w:val="left" w:pos="142"/>
          <w:tab w:val="left" w:pos="1620"/>
        </w:tabs>
        <w:ind w:left="-567" w:right="-312"/>
        <w:rPr>
          <w:sz w:val="22"/>
          <w:szCs w:val="22"/>
        </w:rPr>
      </w:pPr>
    </w:p>
    <w:p w:rsidR="009B4A6B" w:rsidRDefault="009B4A6B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The volumes that attract the </w:t>
      </w:r>
      <w:r w:rsidR="009D67C2">
        <w:rPr>
          <w:sz w:val="22"/>
          <w:szCs w:val="22"/>
        </w:rPr>
        <w:t>TO Entry Commodity</w:t>
      </w:r>
      <w:r>
        <w:rPr>
          <w:sz w:val="22"/>
          <w:szCs w:val="22"/>
        </w:rPr>
        <w:t xml:space="preserve">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 xml:space="preserve"> are those forecast </w:t>
      </w:r>
      <w:r w:rsidR="00B276B1">
        <w:rPr>
          <w:sz w:val="22"/>
          <w:szCs w:val="22"/>
        </w:rPr>
        <w:t xml:space="preserve">non-storage </w:t>
      </w:r>
      <w:r>
        <w:rPr>
          <w:sz w:val="22"/>
          <w:szCs w:val="22"/>
        </w:rPr>
        <w:t>e</w:t>
      </w:r>
      <w:r w:rsidRPr="00D52A5C">
        <w:rPr>
          <w:sz w:val="22"/>
          <w:szCs w:val="22"/>
        </w:rPr>
        <w:t xml:space="preserve">ntry </w:t>
      </w:r>
      <w:r>
        <w:rPr>
          <w:sz w:val="22"/>
          <w:szCs w:val="22"/>
        </w:rPr>
        <w:t>f</w:t>
      </w:r>
      <w:r w:rsidRPr="00D52A5C">
        <w:rPr>
          <w:sz w:val="22"/>
          <w:szCs w:val="22"/>
        </w:rPr>
        <w:t xml:space="preserve">lows </w:t>
      </w:r>
      <w:r>
        <w:rPr>
          <w:sz w:val="22"/>
          <w:szCs w:val="22"/>
        </w:rPr>
        <w:t xml:space="preserve">net </w:t>
      </w:r>
      <w:r w:rsidRPr="00D52A5C">
        <w:rPr>
          <w:sz w:val="22"/>
          <w:szCs w:val="22"/>
        </w:rPr>
        <w:t>of shorthaul volumes</w:t>
      </w:r>
      <w:r>
        <w:rPr>
          <w:sz w:val="22"/>
          <w:szCs w:val="22"/>
        </w:rPr>
        <w:t xml:space="preserve"> i.e. the volumes that shippers have nominated to attract the </w:t>
      </w:r>
      <w:r w:rsidR="00944163">
        <w:rPr>
          <w:sz w:val="22"/>
          <w:szCs w:val="22"/>
        </w:rPr>
        <w:t xml:space="preserve">Optional </w:t>
      </w:r>
      <w:r>
        <w:rPr>
          <w:sz w:val="22"/>
          <w:szCs w:val="22"/>
        </w:rPr>
        <w:t xml:space="preserve">Commodity </w:t>
      </w:r>
      <w:r w:rsidR="000214BE">
        <w:rPr>
          <w:sz w:val="22"/>
          <w:szCs w:val="22"/>
        </w:rPr>
        <w:t>charge</w:t>
      </w:r>
      <w:r w:rsidR="00944163">
        <w:rPr>
          <w:sz w:val="22"/>
          <w:szCs w:val="22"/>
        </w:rPr>
        <w:t xml:space="preserve"> (Shorthaul)</w:t>
      </w:r>
      <w:r>
        <w:rPr>
          <w:sz w:val="22"/>
          <w:szCs w:val="22"/>
        </w:rPr>
        <w:t>.</w:t>
      </w:r>
    </w:p>
    <w:p w:rsidR="00006F79" w:rsidRDefault="00006F7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1E4EF6" w:rsidRDefault="003D37C7" w:rsidP="00E84004">
      <w:pPr>
        <w:tabs>
          <w:tab w:val="left" w:pos="142"/>
        </w:tabs>
        <w:ind w:left="-567" w:right="-312"/>
        <w:rPr>
          <w:color w:val="C0504D"/>
          <w:sz w:val="22"/>
          <w:szCs w:val="22"/>
        </w:rPr>
      </w:pPr>
      <w:r w:rsidRPr="00AF199F">
        <w:rPr>
          <w:b/>
          <w:color w:val="C0504D"/>
          <w:sz w:val="22"/>
          <w:szCs w:val="22"/>
        </w:rPr>
        <w:t xml:space="preserve">Table </w:t>
      </w:r>
      <w:r w:rsidR="00A91C72" w:rsidRPr="00AF199F">
        <w:rPr>
          <w:b/>
          <w:color w:val="C0504D"/>
          <w:sz w:val="22"/>
          <w:szCs w:val="22"/>
        </w:rPr>
        <w:t>15</w:t>
      </w:r>
      <w:r w:rsidR="00006F79" w:rsidRPr="00AF199F">
        <w:rPr>
          <w:color w:val="C0504D"/>
          <w:sz w:val="22"/>
          <w:szCs w:val="22"/>
        </w:rPr>
        <w:t xml:space="preserve"> </w:t>
      </w:r>
      <w:r w:rsidR="009B4A6B" w:rsidRPr="00AF199F">
        <w:rPr>
          <w:color w:val="C0504D"/>
          <w:sz w:val="22"/>
          <w:szCs w:val="22"/>
        </w:rPr>
        <w:t xml:space="preserve">shows the volumes used for the prices set </w:t>
      </w:r>
      <w:r w:rsidRPr="00AF199F">
        <w:rPr>
          <w:color w:val="C0504D"/>
          <w:sz w:val="22"/>
          <w:szCs w:val="22"/>
        </w:rPr>
        <w:t xml:space="preserve">for </w:t>
      </w:r>
      <w:r w:rsidR="00561C8D">
        <w:rPr>
          <w:color w:val="C0504D"/>
          <w:sz w:val="22"/>
          <w:szCs w:val="22"/>
        </w:rPr>
        <w:t>the year</w:t>
      </w:r>
      <w:r w:rsidR="001E4EF6">
        <w:rPr>
          <w:color w:val="C0504D"/>
          <w:sz w:val="22"/>
          <w:szCs w:val="22"/>
        </w:rPr>
        <w:t>.</w:t>
      </w:r>
    </w:p>
    <w:p w:rsidR="00006F79" w:rsidRPr="00AF199F" w:rsidRDefault="009B4A6B" w:rsidP="00E84004">
      <w:pPr>
        <w:tabs>
          <w:tab w:val="left" w:pos="142"/>
        </w:tabs>
        <w:ind w:left="-567" w:right="-312"/>
        <w:rPr>
          <w:color w:val="C0504D"/>
          <w:sz w:val="22"/>
          <w:szCs w:val="22"/>
        </w:rPr>
      </w:pPr>
      <w:r w:rsidRPr="00AF199F">
        <w:rPr>
          <w:color w:val="C0504D"/>
          <w:sz w:val="22"/>
          <w:szCs w:val="22"/>
        </w:rPr>
        <w:t>.</w:t>
      </w:r>
    </w:p>
    <w:p w:rsidR="00243CEF" w:rsidRDefault="007F2DAA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lastRenderedPageBreak/>
        <w:t>T</w:t>
      </w:r>
      <w:r w:rsidR="009B4A6B">
        <w:rPr>
          <w:sz w:val="22"/>
          <w:szCs w:val="22"/>
        </w:rPr>
        <w:t>he f</w:t>
      </w:r>
      <w:r w:rsidR="00243CEF" w:rsidRPr="008574BC">
        <w:rPr>
          <w:sz w:val="22"/>
          <w:szCs w:val="22"/>
        </w:rPr>
        <w:t>low data is updated as part of the demand forecasts published in mid-May</w:t>
      </w:r>
      <w:r w:rsidR="00243CEF">
        <w:rPr>
          <w:sz w:val="22"/>
          <w:szCs w:val="22"/>
        </w:rPr>
        <w:t xml:space="preserve">. </w:t>
      </w:r>
      <w:r w:rsidR="00243CEF" w:rsidRPr="008574BC">
        <w:rPr>
          <w:sz w:val="22"/>
          <w:szCs w:val="22"/>
        </w:rPr>
        <w:t xml:space="preserve"> Shippers will </w:t>
      </w:r>
      <w:r w:rsidR="00243CEF">
        <w:rPr>
          <w:sz w:val="22"/>
          <w:szCs w:val="22"/>
        </w:rPr>
        <w:t xml:space="preserve">therefore </w:t>
      </w:r>
      <w:r w:rsidR="00243CEF" w:rsidRPr="008574BC">
        <w:rPr>
          <w:sz w:val="22"/>
          <w:szCs w:val="22"/>
        </w:rPr>
        <w:t>observe different flow assumptions for indicative and final notices of the October price change</w:t>
      </w:r>
      <w:r w:rsidR="00243CEF">
        <w:rPr>
          <w:sz w:val="22"/>
          <w:szCs w:val="22"/>
        </w:rPr>
        <w:t xml:space="preserve"> to those made for the April prices</w:t>
      </w:r>
      <w:r w:rsidR="00243CEF" w:rsidRPr="008574BC">
        <w:rPr>
          <w:sz w:val="22"/>
          <w:szCs w:val="22"/>
        </w:rPr>
        <w:t>.</w:t>
      </w:r>
    </w:p>
    <w:p w:rsidR="00243CEF" w:rsidRDefault="00243CEF" w:rsidP="00E84004">
      <w:pPr>
        <w:tabs>
          <w:tab w:val="left" w:pos="142"/>
          <w:tab w:val="decimal" w:pos="900"/>
        </w:tabs>
        <w:ind w:left="-567" w:right="-312"/>
        <w:rPr>
          <w:sz w:val="22"/>
          <w:szCs w:val="22"/>
        </w:rPr>
      </w:pPr>
    </w:p>
    <w:p w:rsidR="00550607" w:rsidRPr="00AF199F" w:rsidRDefault="00B858FE" w:rsidP="00AF199F">
      <w:pPr>
        <w:pStyle w:val="Heading3"/>
        <w:pBdr>
          <w:top w:val="single" w:sz="4" w:space="3" w:color="C0504D"/>
          <w:bottom w:val="single" w:sz="4" w:space="10" w:color="C0504D"/>
        </w:pBdr>
        <w:tabs>
          <w:tab w:val="left" w:pos="142"/>
        </w:tabs>
        <w:ind w:left="-567" w:right="-312"/>
        <w:rPr>
          <w:color w:val="C0504D"/>
        </w:rPr>
      </w:pPr>
      <w:r w:rsidRPr="00AF199F">
        <w:rPr>
          <w:color w:val="C0504D"/>
        </w:rPr>
        <w:t xml:space="preserve">Step 4: </w:t>
      </w:r>
      <w:r w:rsidR="00550607" w:rsidRPr="00AF199F">
        <w:rPr>
          <w:color w:val="C0504D"/>
        </w:rPr>
        <w:t xml:space="preserve">Calculating the </w:t>
      </w:r>
      <w:r w:rsidR="009D67C2" w:rsidRPr="00AF199F">
        <w:rPr>
          <w:color w:val="C0504D"/>
        </w:rPr>
        <w:t>TO Entry Commodity</w:t>
      </w:r>
      <w:r w:rsidR="00550607" w:rsidRPr="00AF199F">
        <w:rPr>
          <w:color w:val="C0504D"/>
        </w:rPr>
        <w:t xml:space="preserve"> </w:t>
      </w:r>
      <w:r w:rsidR="000214BE" w:rsidRPr="00D33BBE">
        <w:rPr>
          <w:color w:val="C0504D"/>
        </w:rPr>
        <w:t>charge</w:t>
      </w:r>
      <w:r w:rsidR="009751BB" w:rsidRPr="00AF199F">
        <w:rPr>
          <w:color w:val="C0504D"/>
        </w:rPr>
        <w:t xml:space="preserve"> rate</w:t>
      </w:r>
    </w:p>
    <w:p w:rsidR="00550607" w:rsidRPr="0004300A" w:rsidRDefault="00550607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4518DE" w:rsidRPr="008574BC" w:rsidRDefault="004518DE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9D67C2">
        <w:rPr>
          <w:sz w:val="22"/>
          <w:szCs w:val="22"/>
        </w:rPr>
        <w:t>TO Entry Commodity</w:t>
      </w:r>
      <w:r w:rsidRPr="008574BC">
        <w:rPr>
          <w:sz w:val="22"/>
          <w:szCs w:val="22"/>
        </w:rPr>
        <w:t xml:space="preserve"> </w:t>
      </w:r>
      <w:r w:rsidR="000214BE">
        <w:rPr>
          <w:sz w:val="22"/>
          <w:szCs w:val="22"/>
        </w:rPr>
        <w:t>charge</w:t>
      </w:r>
      <w:r w:rsidRPr="008574BC">
        <w:rPr>
          <w:sz w:val="22"/>
          <w:szCs w:val="22"/>
        </w:rPr>
        <w:t xml:space="preserve"> is collected from </w:t>
      </w:r>
      <w:r w:rsidR="00B276B1">
        <w:rPr>
          <w:sz w:val="22"/>
          <w:szCs w:val="22"/>
        </w:rPr>
        <w:t xml:space="preserve">non-storage </w:t>
      </w:r>
      <w:r>
        <w:rPr>
          <w:sz w:val="22"/>
          <w:szCs w:val="22"/>
        </w:rPr>
        <w:t>e</w:t>
      </w:r>
      <w:r w:rsidRPr="008574BC">
        <w:rPr>
          <w:sz w:val="22"/>
          <w:szCs w:val="22"/>
        </w:rPr>
        <w:t>ntry flows</w:t>
      </w:r>
      <w:r w:rsidR="00B276B1">
        <w:rPr>
          <w:sz w:val="22"/>
          <w:szCs w:val="22"/>
        </w:rPr>
        <w:t xml:space="preserve"> excluding shorthaul flows</w:t>
      </w:r>
      <w:r w:rsidRPr="008574BC">
        <w:rPr>
          <w:sz w:val="22"/>
          <w:szCs w:val="22"/>
        </w:rPr>
        <w:t xml:space="preserve">, therefore to calculate the </w:t>
      </w:r>
      <w:r w:rsidR="005833EB">
        <w:rPr>
          <w:sz w:val="22"/>
          <w:szCs w:val="22"/>
        </w:rPr>
        <w:t>charge</w:t>
      </w:r>
      <w:r w:rsidRPr="008574BC">
        <w:rPr>
          <w:sz w:val="22"/>
          <w:szCs w:val="22"/>
        </w:rPr>
        <w:t xml:space="preserve"> </w:t>
      </w:r>
      <w:r w:rsidR="009751BB">
        <w:rPr>
          <w:sz w:val="22"/>
          <w:szCs w:val="22"/>
        </w:rPr>
        <w:t xml:space="preserve">rate </w:t>
      </w:r>
      <w:r>
        <w:rPr>
          <w:sz w:val="22"/>
          <w:szCs w:val="22"/>
        </w:rPr>
        <w:t>to apply from</w:t>
      </w:r>
      <w:r w:rsidRPr="008574BC">
        <w:rPr>
          <w:sz w:val="22"/>
          <w:szCs w:val="22"/>
        </w:rPr>
        <w:t xml:space="preserve"> April the following formula</w:t>
      </w:r>
      <w:r>
        <w:rPr>
          <w:sz w:val="22"/>
          <w:szCs w:val="22"/>
        </w:rPr>
        <w:t xml:space="preserve"> </w:t>
      </w:r>
      <w:r w:rsidR="002316F5">
        <w:rPr>
          <w:sz w:val="22"/>
          <w:szCs w:val="22"/>
        </w:rPr>
        <w:t>wa</w:t>
      </w:r>
      <w:r>
        <w:rPr>
          <w:sz w:val="22"/>
          <w:szCs w:val="22"/>
        </w:rPr>
        <w:t>s used</w:t>
      </w:r>
      <w:r w:rsidRPr="008574BC">
        <w:rPr>
          <w:sz w:val="22"/>
          <w:szCs w:val="22"/>
        </w:rPr>
        <w:t>.</w:t>
      </w:r>
    </w:p>
    <w:p w:rsidR="0075486A" w:rsidRDefault="0075486A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1A7F7B" w:rsidRDefault="00003B0B" w:rsidP="009008CC">
      <w:pPr>
        <w:tabs>
          <w:tab w:val="left" w:pos="142"/>
        </w:tabs>
        <w:ind w:left="-567" w:right="-312"/>
        <w:jc w:val="center"/>
        <w:rPr>
          <w:sz w:val="22"/>
          <w:szCs w:val="22"/>
        </w:rPr>
      </w:pPr>
      <w:r w:rsidRPr="00003B0B">
        <w:rPr>
          <w:position w:val="-28"/>
          <w:sz w:val="22"/>
          <w:szCs w:val="22"/>
        </w:rPr>
        <w:object w:dxaOrig="5580" w:dyaOrig="660">
          <v:shape id="_x0000_i1028" type="#_x0000_t75" style="width:279pt;height:33pt" o:ole="">
            <v:imagedata r:id="rId16" o:title=""/>
          </v:shape>
          <o:OLEObject Type="Embed" ProgID="Equation.3" ShapeID="_x0000_i1028" DrawAspect="Content" ObjectID="_1626170529" r:id="rId17"/>
        </w:object>
      </w:r>
    </w:p>
    <w:p w:rsidR="00153A21" w:rsidRDefault="00153A21" w:rsidP="00E84004">
      <w:pPr>
        <w:tabs>
          <w:tab w:val="left" w:pos="142"/>
        </w:tabs>
        <w:ind w:left="-567" w:right="-312"/>
        <w:rPr>
          <w:b/>
          <w:i/>
          <w:sz w:val="22"/>
          <w:szCs w:val="22"/>
        </w:rPr>
      </w:pPr>
    </w:p>
    <w:p w:rsidR="00243CEF" w:rsidRPr="00AF199F" w:rsidRDefault="00243CEF" w:rsidP="009008CC">
      <w:pPr>
        <w:pStyle w:val="Heading4"/>
        <w:tabs>
          <w:tab w:val="left" w:pos="142"/>
        </w:tabs>
        <w:ind w:left="-567" w:right="-312" w:firstLine="0"/>
        <w:rPr>
          <w:color w:val="C0504D"/>
        </w:rPr>
      </w:pPr>
      <w:r w:rsidRPr="00AF199F">
        <w:rPr>
          <w:color w:val="C0504D"/>
        </w:rPr>
        <w:t xml:space="preserve">Mid-year updates to the </w:t>
      </w:r>
      <w:r w:rsidR="009D67C2" w:rsidRPr="00AF199F">
        <w:rPr>
          <w:color w:val="C0504D"/>
        </w:rPr>
        <w:t>TO Entry Commodity</w:t>
      </w:r>
      <w:r w:rsidRPr="00AF199F">
        <w:rPr>
          <w:color w:val="C0504D"/>
        </w:rPr>
        <w:t xml:space="preserve"> </w:t>
      </w:r>
      <w:r w:rsidR="000214BE" w:rsidRPr="00D33BBE">
        <w:rPr>
          <w:color w:val="C0504D"/>
        </w:rPr>
        <w:t>charge</w:t>
      </w:r>
    </w:p>
    <w:p w:rsidR="00243CEF" w:rsidRPr="0039624C" w:rsidRDefault="00243CEF" w:rsidP="00E84004">
      <w:pPr>
        <w:tabs>
          <w:tab w:val="left" w:pos="142"/>
        </w:tabs>
        <w:ind w:left="-567" w:right="-312"/>
        <w:rPr>
          <w:b/>
          <w:sz w:val="22"/>
          <w:szCs w:val="22"/>
        </w:rPr>
      </w:pPr>
    </w:p>
    <w:p w:rsidR="00243CEF" w:rsidRPr="0039624C" w:rsidRDefault="00243CEF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39624C">
        <w:rPr>
          <w:sz w:val="22"/>
          <w:szCs w:val="22"/>
        </w:rPr>
        <w:t>The commercial framework allows the</w:t>
      </w:r>
      <w:r w:rsidR="007C7B91">
        <w:rPr>
          <w:sz w:val="22"/>
          <w:szCs w:val="22"/>
        </w:rPr>
        <w:t xml:space="preserve"> </w:t>
      </w:r>
      <w:r w:rsidR="009D67C2">
        <w:rPr>
          <w:sz w:val="22"/>
          <w:szCs w:val="22"/>
        </w:rPr>
        <w:t>TO Entry Commodity</w:t>
      </w:r>
      <w:r>
        <w:rPr>
          <w:sz w:val="22"/>
          <w:szCs w:val="22"/>
        </w:rPr>
        <w:t xml:space="preserve">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 xml:space="preserve"> </w:t>
      </w:r>
      <w:r w:rsidRPr="0039624C">
        <w:rPr>
          <w:sz w:val="22"/>
          <w:szCs w:val="22"/>
        </w:rPr>
        <w:t>to be revised in October.  Further updates are permitted in exceptional circumstances.</w:t>
      </w:r>
    </w:p>
    <w:p w:rsidR="00243CEF" w:rsidRPr="0039624C" w:rsidRDefault="00243CEF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243CEF" w:rsidRDefault="00243CEF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39624C">
        <w:rPr>
          <w:sz w:val="22"/>
          <w:szCs w:val="22"/>
        </w:rPr>
        <w:t>When making a mid-year price update, the</w:t>
      </w:r>
      <w:r>
        <w:rPr>
          <w:sz w:val="22"/>
          <w:szCs w:val="22"/>
        </w:rPr>
        <w:t xml:space="preserve"> actual</w:t>
      </w:r>
      <w:r w:rsidRPr="0039624C">
        <w:rPr>
          <w:sz w:val="22"/>
          <w:szCs w:val="22"/>
        </w:rPr>
        <w:t xml:space="preserve"> revenue collected during the year to date is deducted from the revised annual revenue</w:t>
      </w:r>
      <w:r w:rsidR="009B4A6B">
        <w:rPr>
          <w:sz w:val="22"/>
          <w:szCs w:val="22"/>
        </w:rPr>
        <w:t>,</w:t>
      </w:r>
      <w:r>
        <w:rPr>
          <w:sz w:val="22"/>
          <w:szCs w:val="22"/>
        </w:rPr>
        <w:t xml:space="preserve"> and the remaining flows for the year considered.</w:t>
      </w:r>
    </w:p>
    <w:p w:rsidR="007C7B91" w:rsidRDefault="007C7B91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243CEF" w:rsidRDefault="00243CEF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39624C">
        <w:rPr>
          <w:sz w:val="22"/>
          <w:szCs w:val="22"/>
        </w:rPr>
        <w:t xml:space="preserve">For example, </w:t>
      </w:r>
      <w:r>
        <w:rPr>
          <w:sz w:val="22"/>
          <w:szCs w:val="22"/>
        </w:rPr>
        <w:t xml:space="preserve">to update prices in </w:t>
      </w:r>
      <w:r w:rsidRPr="0039624C">
        <w:rPr>
          <w:sz w:val="22"/>
          <w:szCs w:val="22"/>
        </w:rPr>
        <w:t xml:space="preserve">October the following formula is </w:t>
      </w:r>
      <w:r>
        <w:rPr>
          <w:sz w:val="22"/>
          <w:szCs w:val="22"/>
        </w:rPr>
        <w:t>applied</w:t>
      </w:r>
      <w:r w:rsidRPr="0039624C">
        <w:rPr>
          <w:sz w:val="22"/>
          <w:szCs w:val="22"/>
        </w:rPr>
        <w:t>:</w:t>
      </w:r>
    </w:p>
    <w:p w:rsidR="00E3195A" w:rsidRPr="0039624C" w:rsidRDefault="00E3195A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243CEF" w:rsidRDefault="00E71B33" w:rsidP="009008CC">
      <w:pPr>
        <w:tabs>
          <w:tab w:val="left" w:pos="142"/>
        </w:tabs>
        <w:ind w:left="-567" w:right="-312"/>
        <w:jc w:val="center"/>
        <w:rPr>
          <w:sz w:val="24"/>
          <w:szCs w:val="24"/>
        </w:rPr>
      </w:pPr>
      <w:r w:rsidRPr="00BA317B">
        <w:rPr>
          <w:position w:val="-26"/>
          <w:sz w:val="24"/>
          <w:szCs w:val="24"/>
        </w:rPr>
        <w:object w:dxaOrig="6660" w:dyaOrig="980">
          <v:shape id="_x0000_i1029" type="#_x0000_t75" style="width:333pt;height:48.75pt" o:ole="">
            <v:imagedata r:id="rId18" o:title=""/>
          </v:shape>
          <o:OLEObject Type="Embed" ProgID="Equation.3" ShapeID="_x0000_i1029" DrawAspect="Content" ObjectID="_1626170530" r:id="rId19"/>
        </w:object>
      </w:r>
    </w:p>
    <w:p w:rsidR="00003B0B" w:rsidRDefault="00003B0B" w:rsidP="00E84004">
      <w:pPr>
        <w:tabs>
          <w:tab w:val="left" w:pos="142"/>
        </w:tabs>
        <w:ind w:left="-567" w:right="-312"/>
        <w:rPr>
          <w:b/>
          <w:sz w:val="22"/>
          <w:szCs w:val="22"/>
        </w:rPr>
      </w:pPr>
    </w:p>
    <w:p w:rsidR="00003B0B" w:rsidRDefault="00003B0B" w:rsidP="00E84004">
      <w:pPr>
        <w:tabs>
          <w:tab w:val="left" w:pos="142"/>
        </w:tabs>
        <w:ind w:left="-567" w:right="-312"/>
        <w:rPr>
          <w:b/>
          <w:sz w:val="22"/>
          <w:szCs w:val="22"/>
        </w:rPr>
      </w:pPr>
    </w:p>
    <w:p w:rsidR="0004300A" w:rsidRPr="00AF199F" w:rsidRDefault="0004300A" w:rsidP="009008CC">
      <w:pPr>
        <w:pStyle w:val="Heading4"/>
        <w:tabs>
          <w:tab w:val="left" w:pos="142"/>
        </w:tabs>
        <w:ind w:left="-567" w:right="-312" w:firstLine="0"/>
        <w:rPr>
          <w:color w:val="C0504D"/>
        </w:rPr>
      </w:pPr>
      <w:r w:rsidRPr="00AF199F">
        <w:rPr>
          <w:color w:val="C0504D"/>
        </w:rPr>
        <w:t xml:space="preserve">Forecast revenue recovery through </w:t>
      </w:r>
      <w:r w:rsidR="009D67C2" w:rsidRPr="00AF199F">
        <w:rPr>
          <w:color w:val="C0504D"/>
        </w:rPr>
        <w:t>TO Entry Commodity</w:t>
      </w:r>
      <w:r w:rsidRPr="00AF199F">
        <w:rPr>
          <w:color w:val="C0504D"/>
        </w:rPr>
        <w:t xml:space="preserve"> </w:t>
      </w:r>
      <w:r w:rsidR="000214BE" w:rsidRPr="00D33BBE">
        <w:rPr>
          <w:color w:val="C0504D"/>
        </w:rPr>
        <w:t>charge</w:t>
      </w:r>
    </w:p>
    <w:p w:rsidR="0004300A" w:rsidRPr="00AF199F" w:rsidRDefault="0004300A" w:rsidP="00E84004">
      <w:pPr>
        <w:tabs>
          <w:tab w:val="left" w:pos="142"/>
        </w:tabs>
        <w:ind w:left="-567" w:right="-312"/>
        <w:rPr>
          <w:color w:val="C0504D"/>
          <w:sz w:val="22"/>
          <w:szCs w:val="22"/>
        </w:rPr>
      </w:pPr>
    </w:p>
    <w:p w:rsidR="0004300A" w:rsidRDefault="003D37C7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AF199F">
        <w:rPr>
          <w:b/>
          <w:color w:val="C0504D"/>
          <w:sz w:val="22"/>
          <w:szCs w:val="22"/>
        </w:rPr>
        <w:t>Table 1</w:t>
      </w:r>
      <w:r w:rsidR="00A91C72" w:rsidRPr="00AF199F">
        <w:rPr>
          <w:b/>
          <w:color w:val="C0504D"/>
          <w:sz w:val="22"/>
          <w:szCs w:val="22"/>
        </w:rPr>
        <w:t>6</w:t>
      </w:r>
      <w:r w:rsidRPr="00AF199F">
        <w:rPr>
          <w:color w:val="C0504D"/>
          <w:sz w:val="22"/>
          <w:szCs w:val="22"/>
        </w:rPr>
        <w:t xml:space="preserve"> shows</w:t>
      </w:r>
      <w:r w:rsidR="0004300A" w:rsidRPr="00AF199F">
        <w:rPr>
          <w:color w:val="C0504D"/>
          <w:sz w:val="22"/>
          <w:szCs w:val="22"/>
        </w:rPr>
        <w:t xml:space="preserve"> the forecast monthly flows </w:t>
      </w:r>
      <w:r w:rsidR="00B276B1" w:rsidRPr="00AF199F">
        <w:rPr>
          <w:color w:val="C0504D"/>
          <w:sz w:val="22"/>
          <w:szCs w:val="22"/>
        </w:rPr>
        <w:t xml:space="preserve">that </w:t>
      </w:r>
      <w:r w:rsidR="0004300A" w:rsidRPr="00AF199F">
        <w:rPr>
          <w:color w:val="C0504D"/>
          <w:sz w:val="22"/>
          <w:szCs w:val="22"/>
        </w:rPr>
        <w:t xml:space="preserve">will attract the </w:t>
      </w:r>
      <w:r w:rsidR="009D67C2" w:rsidRPr="00AF199F">
        <w:rPr>
          <w:color w:val="C0504D"/>
          <w:sz w:val="22"/>
          <w:szCs w:val="22"/>
        </w:rPr>
        <w:t>TO Entry Commodity</w:t>
      </w:r>
      <w:r w:rsidR="0004300A" w:rsidRPr="00AF199F">
        <w:rPr>
          <w:color w:val="C0504D"/>
          <w:sz w:val="22"/>
          <w:szCs w:val="22"/>
        </w:rPr>
        <w:t xml:space="preserve"> </w:t>
      </w:r>
      <w:r w:rsidR="000214BE" w:rsidRPr="00D33BBE">
        <w:rPr>
          <w:color w:val="C0504D"/>
          <w:sz w:val="22"/>
          <w:szCs w:val="22"/>
        </w:rPr>
        <w:t>charge</w:t>
      </w:r>
      <w:r w:rsidR="0004300A" w:rsidRPr="00AF199F">
        <w:rPr>
          <w:color w:val="C0504D"/>
          <w:sz w:val="22"/>
          <w:szCs w:val="22"/>
        </w:rPr>
        <w:t xml:space="preserve"> and the expected revenue from this </w:t>
      </w:r>
      <w:r w:rsidR="005833EB" w:rsidRPr="00D33BBE">
        <w:rPr>
          <w:color w:val="C0504D"/>
          <w:sz w:val="22"/>
          <w:szCs w:val="22"/>
        </w:rPr>
        <w:t>charge</w:t>
      </w:r>
      <w:r w:rsidR="0004300A" w:rsidRPr="00AF199F">
        <w:rPr>
          <w:color w:val="C0504D"/>
          <w:sz w:val="22"/>
          <w:szCs w:val="22"/>
        </w:rPr>
        <w:t>.</w:t>
      </w:r>
      <w:r w:rsidR="0004300A">
        <w:rPr>
          <w:sz w:val="22"/>
          <w:szCs w:val="22"/>
        </w:rPr>
        <w:t xml:space="preserve">  </w:t>
      </w:r>
      <w:r w:rsidR="0004300A" w:rsidRPr="008574BC">
        <w:rPr>
          <w:sz w:val="22"/>
          <w:szCs w:val="22"/>
        </w:rPr>
        <w:t xml:space="preserve">Data shown in </w:t>
      </w:r>
      <w:r w:rsidR="0004300A" w:rsidRPr="009008CC">
        <w:rPr>
          <w:color w:val="FF0000"/>
          <w:sz w:val="22"/>
          <w:szCs w:val="22"/>
        </w:rPr>
        <w:t>red</w:t>
      </w:r>
      <w:r w:rsidR="0004300A" w:rsidRPr="008574BC">
        <w:rPr>
          <w:sz w:val="22"/>
          <w:szCs w:val="22"/>
        </w:rPr>
        <w:t xml:space="preserve"> is based on actuals, other data is forecast.</w:t>
      </w:r>
    </w:p>
    <w:p w:rsidR="00187292" w:rsidRDefault="00187292" w:rsidP="00E84004">
      <w:pPr>
        <w:tabs>
          <w:tab w:val="left" w:pos="142"/>
        </w:tabs>
        <w:ind w:left="-567" w:right="-312"/>
        <w:jc w:val="left"/>
        <w:rPr>
          <w:sz w:val="22"/>
          <w:szCs w:val="22"/>
        </w:rPr>
      </w:pPr>
    </w:p>
    <w:p w:rsidR="00187292" w:rsidRDefault="00187292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If actual revenue recovered is greater than the TO entry allowance revenue then the over recovery will be dealt with first by the application of the buy-back offset mechanism, with any residual revenue credited back to entry shippers through the </w:t>
      </w:r>
      <w:r w:rsidR="009D67C2">
        <w:rPr>
          <w:sz w:val="22"/>
          <w:szCs w:val="22"/>
        </w:rPr>
        <w:t>TO Entry Commodity</w:t>
      </w:r>
      <w:r>
        <w:rPr>
          <w:sz w:val="22"/>
          <w:szCs w:val="22"/>
        </w:rPr>
        <w:t xml:space="preserve">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 xml:space="preserve"> rebate mechanism.</w:t>
      </w:r>
    </w:p>
    <w:p w:rsidR="009751BB" w:rsidRDefault="009751BB" w:rsidP="00E84004">
      <w:pPr>
        <w:pStyle w:val="Caption"/>
        <w:keepNext/>
        <w:tabs>
          <w:tab w:val="left" w:pos="142"/>
        </w:tabs>
        <w:ind w:left="-567" w:right="-312"/>
      </w:pPr>
    </w:p>
    <w:p w:rsidR="00AE7D28" w:rsidRPr="00F235A6" w:rsidRDefault="00AE7D28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Any TO Entry over recovery not dealt with via the above mechanisms will flow through into the formula year </w:t>
      </w:r>
      <w:r w:rsidR="000C22A9">
        <w:rPr>
          <w:sz w:val="22"/>
          <w:szCs w:val="22"/>
        </w:rPr>
        <w:t>in two years</w:t>
      </w:r>
      <w:r w:rsidR="00003B0B">
        <w:rPr>
          <w:sz w:val="22"/>
          <w:szCs w:val="22"/>
        </w:rPr>
        <w:t>’</w:t>
      </w:r>
      <w:r w:rsidR="000C22A9">
        <w:rPr>
          <w:sz w:val="22"/>
          <w:szCs w:val="22"/>
        </w:rPr>
        <w:t xml:space="preserve"> time </w:t>
      </w:r>
      <w:r>
        <w:rPr>
          <w:sz w:val="22"/>
          <w:szCs w:val="22"/>
        </w:rPr>
        <w:t>(with the appropriate interest adjustments made) through the NTS TO revenue adjustment term K</w:t>
      </w:r>
      <w:r w:rsidRPr="00AE7D28">
        <w:rPr>
          <w:sz w:val="22"/>
          <w:szCs w:val="22"/>
          <w:vertAlign w:val="subscript"/>
        </w:rPr>
        <w:t>t</w:t>
      </w:r>
      <w:r>
        <w:rPr>
          <w:sz w:val="22"/>
          <w:szCs w:val="22"/>
        </w:rPr>
        <w:t xml:space="preserve"> which applies in that formula year.</w:t>
      </w:r>
      <w:r w:rsidRPr="005601BA">
        <w:rPr>
          <w:sz w:val="22"/>
          <w:szCs w:val="22"/>
          <w:vertAlign w:val="subscript"/>
        </w:rPr>
        <w:t xml:space="preserve">  </w:t>
      </w:r>
    </w:p>
    <w:p w:rsidR="00F323AA" w:rsidRDefault="00F323AA" w:rsidP="00E84004">
      <w:pPr>
        <w:tabs>
          <w:tab w:val="left" w:pos="142"/>
        </w:tabs>
        <w:ind w:left="-567" w:right="-312"/>
        <w:jc w:val="left"/>
        <w:rPr>
          <w:rFonts w:ascii="Arial Bold" w:hAnsi="Arial Bold"/>
          <w:b/>
          <w:caps/>
          <w:sz w:val="22"/>
          <w:szCs w:val="22"/>
        </w:rPr>
        <w:sectPr w:rsidR="00F323AA" w:rsidSect="00AF199F">
          <w:footerReference w:type="even" r:id="rId20"/>
          <w:footerReference w:type="default" r:id="rId21"/>
          <w:pgSz w:w="11906" w:h="16838"/>
          <w:pgMar w:top="1440" w:right="1728" w:bottom="1296" w:left="1701" w:header="706" w:footer="706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F323AA" w:rsidRPr="00AF199F" w:rsidRDefault="00F323AA" w:rsidP="00AF199F">
      <w:pPr>
        <w:pStyle w:val="Heading2"/>
        <w:pBdr>
          <w:top w:val="single" w:sz="4" w:space="5" w:color="9BBB59"/>
          <w:bottom w:val="single" w:sz="4" w:space="15" w:color="9BBB59"/>
        </w:pBdr>
        <w:tabs>
          <w:tab w:val="left" w:pos="142"/>
        </w:tabs>
        <w:ind w:left="-567" w:right="-312"/>
        <w:rPr>
          <w:i w:val="0"/>
          <w:color w:val="9BBB59"/>
        </w:rPr>
      </w:pPr>
      <w:r w:rsidRPr="00AF199F">
        <w:rPr>
          <w:i w:val="0"/>
          <w:color w:val="9BBB59"/>
        </w:rPr>
        <w:lastRenderedPageBreak/>
        <w:t xml:space="preserve">PART C: TO </w:t>
      </w:r>
      <w:r w:rsidR="004D5C97" w:rsidRPr="00AF199F">
        <w:rPr>
          <w:i w:val="0"/>
          <w:color w:val="9BBB59"/>
        </w:rPr>
        <w:t xml:space="preserve">EXIT Commodity and </w:t>
      </w:r>
      <w:r w:rsidR="005833EB" w:rsidRPr="00AF199F">
        <w:rPr>
          <w:i w:val="0"/>
          <w:color w:val="9BBB59"/>
        </w:rPr>
        <w:t>T</w:t>
      </w:r>
      <w:r w:rsidR="005833EB" w:rsidRPr="00D33BBE">
        <w:rPr>
          <w:i w:val="0"/>
          <w:color w:val="9BBB59"/>
        </w:rPr>
        <w:t>arget</w:t>
      </w:r>
      <w:r w:rsidR="005833EB" w:rsidRPr="00AF199F">
        <w:rPr>
          <w:i w:val="0"/>
          <w:color w:val="9BBB59"/>
        </w:rPr>
        <w:t xml:space="preserve"> E</w:t>
      </w:r>
      <w:r w:rsidR="005833EB" w:rsidRPr="00D33BBE">
        <w:rPr>
          <w:i w:val="0"/>
          <w:color w:val="9BBB59"/>
        </w:rPr>
        <w:t>xit</w:t>
      </w:r>
      <w:r w:rsidR="005833EB" w:rsidRPr="00AF199F">
        <w:rPr>
          <w:i w:val="0"/>
          <w:color w:val="9BBB59"/>
        </w:rPr>
        <w:t xml:space="preserve"> R</w:t>
      </w:r>
      <w:r w:rsidR="005833EB" w:rsidRPr="00D33BBE">
        <w:rPr>
          <w:i w:val="0"/>
          <w:color w:val="9BBB59"/>
        </w:rPr>
        <w:t>evenue</w:t>
      </w:r>
      <w:r w:rsidR="005833EB" w:rsidRPr="00AF199F">
        <w:rPr>
          <w:i w:val="0"/>
          <w:color w:val="9BBB59"/>
        </w:rPr>
        <w:t xml:space="preserve"> </w:t>
      </w:r>
      <w:r w:rsidR="004D5C97" w:rsidRPr="00AF199F">
        <w:rPr>
          <w:i w:val="0"/>
          <w:color w:val="9BBB59"/>
        </w:rPr>
        <w:t xml:space="preserve">for </w:t>
      </w:r>
      <w:r w:rsidR="005833EB" w:rsidRPr="00D33BBE">
        <w:rPr>
          <w:i w:val="0"/>
          <w:color w:val="9BBB59"/>
        </w:rPr>
        <w:t xml:space="preserve">the </w:t>
      </w:r>
      <w:r w:rsidR="004D5C97" w:rsidRPr="00AF199F">
        <w:rPr>
          <w:i w:val="0"/>
          <w:color w:val="9BBB59"/>
        </w:rPr>
        <w:t>Transportation Model</w:t>
      </w:r>
    </w:p>
    <w:p w:rsidR="00F323AA" w:rsidRDefault="00F323AA" w:rsidP="00E84004">
      <w:pPr>
        <w:tabs>
          <w:tab w:val="left" w:pos="142"/>
        </w:tabs>
        <w:ind w:left="-567" w:right="-312"/>
        <w:jc w:val="left"/>
        <w:rPr>
          <w:rFonts w:ascii="Arial Bold" w:hAnsi="Arial Bold"/>
          <w:b/>
          <w:caps/>
          <w:sz w:val="22"/>
          <w:szCs w:val="22"/>
        </w:rPr>
      </w:pPr>
    </w:p>
    <w:p w:rsidR="00F323AA" w:rsidRDefault="00F323AA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To derive the TO Target Exit Revenue </w:t>
      </w:r>
      <w:proofErr w:type="gramStart"/>
      <w:r>
        <w:rPr>
          <w:sz w:val="22"/>
          <w:szCs w:val="22"/>
        </w:rPr>
        <w:t>a number of</w:t>
      </w:r>
      <w:proofErr w:type="gramEnd"/>
      <w:r>
        <w:rPr>
          <w:sz w:val="22"/>
          <w:szCs w:val="22"/>
        </w:rPr>
        <w:t xml:space="preserve"> high-level steps are required:</w:t>
      </w:r>
    </w:p>
    <w:p w:rsidR="00F323AA" w:rsidRDefault="00F323AA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F323AA" w:rsidRPr="00AF199F" w:rsidRDefault="00F323AA" w:rsidP="00AF199F">
      <w:pPr>
        <w:pBdr>
          <w:top w:val="single" w:sz="4" w:space="6" w:color="9BBB59"/>
          <w:left w:val="single" w:sz="4" w:space="4" w:color="9BBB59"/>
          <w:bottom w:val="single" w:sz="4" w:space="6" w:color="9BBB59"/>
          <w:right w:val="single" w:sz="4" w:space="4" w:color="9BBB59"/>
        </w:pBdr>
        <w:shd w:val="clear" w:color="auto" w:fill="9BBB59"/>
        <w:tabs>
          <w:tab w:val="left" w:pos="142"/>
          <w:tab w:val="left" w:pos="993"/>
        </w:tabs>
        <w:spacing w:after="120"/>
        <w:ind w:left="-567" w:right="-312"/>
        <w:rPr>
          <w:color w:val="FFFFFF"/>
          <w:sz w:val="22"/>
          <w:szCs w:val="22"/>
        </w:rPr>
      </w:pPr>
      <w:r w:rsidRPr="00AF199F">
        <w:rPr>
          <w:b/>
          <w:color w:val="FFFFFF"/>
          <w:sz w:val="22"/>
          <w:szCs w:val="22"/>
        </w:rPr>
        <w:t>Step 1:</w:t>
      </w:r>
      <w:r w:rsidRPr="00AF199F">
        <w:rPr>
          <w:color w:val="FFFFFF"/>
          <w:sz w:val="22"/>
          <w:szCs w:val="22"/>
        </w:rPr>
        <w:tab/>
        <w:t>Determine the TO Allowed Revenue</w:t>
      </w:r>
    </w:p>
    <w:p w:rsidR="00F323AA" w:rsidRPr="00AF199F" w:rsidRDefault="00F323AA" w:rsidP="00AF199F">
      <w:pPr>
        <w:pBdr>
          <w:top w:val="single" w:sz="4" w:space="6" w:color="9BBB59"/>
          <w:left w:val="single" w:sz="4" w:space="4" w:color="9BBB59"/>
          <w:bottom w:val="single" w:sz="4" w:space="6" w:color="9BBB59"/>
          <w:right w:val="single" w:sz="4" w:space="4" w:color="9BBB59"/>
        </w:pBdr>
        <w:shd w:val="clear" w:color="auto" w:fill="9BBB59"/>
        <w:tabs>
          <w:tab w:val="left" w:pos="142"/>
          <w:tab w:val="left" w:pos="993"/>
        </w:tabs>
        <w:spacing w:after="120"/>
        <w:ind w:left="-567" w:right="-312"/>
        <w:rPr>
          <w:color w:val="FFFFFF"/>
          <w:sz w:val="22"/>
          <w:szCs w:val="22"/>
        </w:rPr>
      </w:pPr>
      <w:r w:rsidRPr="00AF199F">
        <w:rPr>
          <w:b/>
          <w:color w:val="FFFFFF"/>
          <w:sz w:val="22"/>
          <w:szCs w:val="22"/>
        </w:rPr>
        <w:t>Step 2:</w:t>
      </w:r>
      <w:r w:rsidRPr="00AF199F">
        <w:rPr>
          <w:color w:val="FFFFFF"/>
          <w:sz w:val="22"/>
          <w:szCs w:val="22"/>
        </w:rPr>
        <w:tab/>
        <w:t xml:space="preserve">Determine the target </w:t>
      </w:r>
      <w:r w:rsidR="008B411A" w:rsidRPr="00AF199F">
        <w:rPr>
          <w:color w:val="FFFFFF"/>
          <w:sz w:val="22"/>
          <w:szCs w:val="22"/>
        </w:rPr>
        <w:t xml:space="preserve">exit </w:t>
      </w:r>
      <w:r w:rsidRPr="00AF199F">
        <w:rPr>
          <w:color w:val="FFFFFF"/>
          <w:sz w:val="22"/>
          <w:szCs w:val="22"/>
        </w:rPr>
        <w:t xml:space="preserve">revenue to be collected </w:t>
      </w:r>
      <w:r w:rsidR="008B411A" w:rsidRPr="00AF199F">
        <w:rPr>
          <w:color w:val="FFFFFF"/>
          <w:sz w:val="22"/>
          <w:szCs w:val="22"/>
        </w:rPr>
        <w:t>in formula year</w:t>
      </w:r>
    </w:p>
    <w:p w:rsidR="00F323AA" w:rsidRPr="00AF199F" w:rsidRDefault="00F323AA" w:rsidP="00AF199F">
      <w:pPr>
        <w:pBdr>
          <w:top w:val="single" w:sz="4" w:space="6" w:color="9BBB59"/>
          <w:left w:val="single" w:sz="4" w:space="4" w:color="9BBB59"/>
          <w:bottom w:val="single" w:sz="4" w:space="6" w:color="9BBB59"/>
          <w:right w:val="single" w:sz="4" w:space="4" w:color="9BBB59"/>
        </w:pBdr>
        <w:shd w:val="clear" w:color="auto" w:fill="9BBB59"/>
        <w:tabs>
          <w:tab w:val="left" w:pos="142"/>
          <w:tab w:val="left" w:pos="993"/>
        </w:tabs>
        <w:spacing w:after="120"/>
        <w:ind w:left="1440" w:right="-312" w:hanging="2007"/>
        <w:jc w:val="left"/>
        <w:rPr>
          <w:color w:val="FFFFFF"/>
          <w:sz w:val="22"/>
          <w:szCs w:val="22"/>
        </w:rPr>
      </w:pPr>
      <w:r w:rsidRPr="00AF199F">
        <w:rPr>
          <w:b/>
          <w:color w:val="FFFFFF"/>
          <w:sz w:val="22"/>
          <w:szCs w:val="22"/>
        </w:rPr>
        <w:t>Step 3:</w:t>
      </w:r>
      <w:r w:rsidRPr="00AF199F">
        <w:rPr>
          <w:color w:val="FFFFFF"/>
          <w:sz w:val="22"/>
          <w:szCs w:val="22"/>
        </w:rPr>
        <w:tab/>
        <w:t xml:space="preserve">Determine the </w:t>
      </w:r>
      <w:r w:rsidR="008B411A" w:rsidRPr="00AF199F">
        <w:rPr>
          <w:color w:val="FFFFFF"/>
          <w:sz w:val="22"/>
          <w:szCs w:val="22"/>
        </w:rPr>
        <w:t xml:space="preserve">target exit revenue to be </w:t>
      </w:r>
      <w:proofErr w:type="gramStart"/>
      <w:r w:rsidR="00966AD5" w:rsidRPr="00AF199F">
        <w:rPr>
          <w:color w:val="FFFFFF"/>
          <w:sz w:val="22"/>
          <w:szCs w:val="22"/>
        </w:rPr>
        <w:t xml:space="preserve">entered </w:t>
      </w:r>
      <w:r w:rsidR="008B411A" w:rsidRPr="00AF199F">
        <w:rPr>
          <w:color w:val="FFFFFF"/>
          <w:sz w:val="22"/>
          <w:szCs w:val="22"/>
        </w:rPr>
        <w:t>into the</w:t>
      </w:r>
      <w:proofErr w:type="gramEnd"/>
      <w:r w:rsidR="008B411A" w:rsidRPr="00AF199F">
        <w:rPr>
          <w:color w:val="FFFFFF"/>
          <w:sz w:val="22"/>
          <w:szCs w:val="22"/>
        </w:rPr>
        <w:t xml:space="preserve"> Transportation Model</w:t>
      </w:r>
    </w:p>
    <w:p w:rsidR="000C22A9" w:rsidRPr="00AF199F" w:rsidRDefault="000C22A9" w:rsidP="00AF199F">
      <w:pPr>
        <w:pBdr>
          <w:top w:val="single" w:sz="4" w:space="6" w:color="9BBB59"/>
          <w:left w:val="single" w:sz="4" w:space="4" w:color="9BBB59"/>
          <w:bottom w:val="single" w:sz="4" w:space="6" w:color="9BBB59"/>
          <w:right w:val="single" w:sz="4" w:space="4" w:color="9BBB59"/>
        </w:pBdr>
        <w:shd w:val="clear" w:color="auto" w:fill="9BBB59"/>
        <w:tabs>
          <w:tab w:val="left" w:pos="0"/>
          <w:tab w:val="left" w:pos="142"/>
          <w:tab w:val="left" w:pos="993"/>
        </w:tabs>
        <w:ind w:left="-567" w:right="-312"/>
        <w:jc w:val="left"/>
        <w:rPr>
          <w:color w:val="FFFFFF"/>
          <w:sz w:val="22"/>
          <w:szCs w:val="22"/>
        </w:rPr>
      </w:pPr>
      <w:r w:rsidRPr="00AF199F">
        <w:rPr>
          <w:b/>
          <w:color w:val="FFFFFF"/>
          <w:sz w:val="22"/>
          <w:szCs w:val="22"/>
        </w:rPr>
        <w:t xml:space="preserve">Step 4:  </w:t>
      </w:r>
      <w:r w:rsidR="00B4069E" w:rsidRPr="00AF199F">
        <w:rPr>
          <w:b/>
          <w:color w:val="FFFFFF"/>
          <w:sz w:val="22"/>
          <w:szCs w:val="22"/>
        </w:rPr>
        <w:tab/>
      </w:r>
      <w:r w:rsidR="00561277" w:rsidRPr="00AF199F">
        <w:rPr>
          <w:color w:val="FFFFFF"/>
          <w:sz w:val="22"/>
          <w:szCs w:val="22"/>
        </w:rPr>
        <w:t>Determine</w:t>
      </w:r>
      <w:r w:rsidRPr="00AF199F">
        <w:rPr>
          <w:color w:val="FFFFFF"/>
          <w:sz w:val="22"/>
          <w:szCs w:val="22"/>
        </w:rPr>
        <w:t xml:space="preserve"> the target revenue for the TO Exit Commodity </w:t>
      </w:r>
      <w:r w:rsidR="000214BE" w:rsidRPr="00D33BBE">
        <w:rPr>
          <w:color w:val="FFFFFF"/>
          <w:sz w:val="22"/>
          <w:szCs w:val="22"/>
        </w:rPr>
        <w:t>charge</w:t>
      </w:r>
    </w:p>
    <w:p w:rsidR="000C22A9" w:rsidRPr="00AF199F" w:rsidRDefault="000C22A9" w:rsidP="00AF199F">
      <w:pPr>
        <w:pBdr>
          <w:top w:val="single" w:sz="4" w:space="6" w:color="9BBB59"/>
          <w:left w:val="single" w:sz="4" w:space="4" w:color="9BBB59"/>
          <w:bottom w:val="single" w:sz="4" w:space="6" w:color="9BBB59"/>
          <w:right w:val="single" w:sz="4" w:space="4" w:color="9BBB59"/>
        </w:pBdr>
        <w:shd w:val="clear" w:color="auto" w:fill="9BBB59"/>
        <w:tabs>
          <w:tab w:val="left" w:pos="0"/>
          <w:tab w:val="left" w:pos="142"/>
          <w:tab w:val="left" w:pos="993"/>
        </w:tabs>
        <w:ind w:left="-567" w:right="-312"/>
        <w:jc w:val="left"/>
        <w:rPr>
          <w:color w:val="FFFFFF"/>
          <w:sz w:val="16"/>
          <w:szCs w:val="16"/>
        </w:rPr>
      </w:pPr>
    </w:p>
    <w:p w:rsidR="000C22A9" w:rsidRPr="00AF199F" w:rsidRDefault="000C22A9" w:rsidP="00AF199F">
      <w:pPr>
        <w:pBdr>
          <w:top w:val="single" w:sz="4" w:space="6" w:color="9BBB59"/>
          <w:left w:val="single" w:sz="4" w:space="4" w:color="9BBB59"/>
          <w:bottom w:val="single" w:sz="4" w:space="6" w:color="9BBB59"/>
          <w:right w:val="single" w:sz="4" w:space="4" w:color="9BBB59"/>
        </w:pBdr>
        <w:shd w:val="clear" w:color="auto" w:fill="9BBB59"/>
        <w:tabs>
          <w:tab w:val="left" w:pos="142"/>
          <w:tab w:val="left" w:pos="993"/>
        </w:tabs>
        <w:spacing w:after="120"/>
        <w:ind w:left="-567" w:right="-312"/>
        <w:jc w:val="left"/>
        <w:rPr>
          <w:color w:val="FFFFFF"/>
          <w:sz w:val="22"/>
          <w:szCs w:val="22"/>
        </w:rPr>
      </w:pPr>
      <w:r w:rsidRPr="00AF199F">
        <w:rPr>
          <w:b/>
          <w:color w:val="FFFFFF"/>
          <w:sz w:val="22"/>
          <w:szCs w:val="22"/>
        </w:rPr>
        <w:t xml:space="preserve">Step 5: </w:t>
      </w:r>
      <w:r w:rsidR="00B4069E" w:rsidRPr="00AF199F">
        <w:rPr>
          <w:b/>
          <w:color w:val="FFFFFF"/>
          <w:sz w:val="22"/>
          <w:szCs w:val="22"/>
        </w:rPr>
        <w:tab/>
      </w:r>
      <w:r w:rsidR="00561277" w:rsidRPr="00AF199F">
        <w:rPr>
          <w:color w:val="FFFFFF"/>
          <w:sz w:val="22"/>
          <w:szCs w:val="22"/>
        </w:rPr>
        <w:t>Determine</w:t>
      </w:r>
      <w:r w:rsidRPr="00AF199F">
        <w:rPr>
          <w:color w:val="FFFFFF"/>
          <w:sz w:val="22"/>
          <w:szCs w:val="22"/>
        </w:rPr>
        <w:t xml:space="preserve"> the volumes that attract the TO Exit Commodity </w:t>
      </w:r>
      <w:r w:rsidR="000214BE" w:rsidRPr="00D33BBE">
        <w:rPr>
          <w:color w:val="FFFFFF"/>
          <w:sz w:val="22"/>
          <w:szCs w:val="22"/>
        </w:rPr>
        <w:t>charge</w:t>
      </w:r>
    </w:p>
    <w:p w:rsidR="00B858FE" w:rsidRPr="00AF199F" w:rsidRDefault="00B858FE" w:rsidP="00AF199F">
      <w:pPr>
        <w:pBdr>
          <w:top w:val="single" w:sz="4" w:space="6" w:color="9BBB59"/>
          <w:left w:val="single" w:sz="4" w:space="4" w:color="9BBB59"/>
          <w:bottom w:val="single" w:sz="4" w:space="6" w:color="9BBB59"/>
          <w:right w:val="single" w:sz="4" w:space="4" w:color="9BBB59"/>
        </w:pBdr>
        <w:shd w:val="clear" w:color="auto" w:fill="9BBB59"/>
        <w:tabs>
          <w:tab w:val="left" w:pos="142"/>
          <w:tab w:val="left" w:pos="993"/>
        </w:tabs>
        <w:ind w:left="-567" w:right="-312"/>
        <w:rPr>
          <w:color w:val="FFFFFF"/>
          <w:sz w:val="22"/>
          <w:szCs w:val="22"/>
        </w:rPr>
      </w:pPr>
      <w:r w:rsidRPr="00AF199F">
        <w:rPr>
          <w:b/>
          <w:color w:val="FFFFFF"/>
          <w:sz w:val="22"/>
          <w:szCs w:val="22"/>
        </w:rPr>
        <w:t>Step 6:</w:t>
      </w:r>
      <w:r w:rsidRPr="00AF199F">
        <w:rPr>
          <w:color w:val="FFFFFF"/>
          <w:sz w:val="22"/>
          <w:szCs w:val="22"/>
        </w:rPr>
        <w:tab/>
        <w:t xml:space="preserve">Calculate the TO Exit Commodity </w:t>
      </w:r>
      <w:r w:rsidR="000214BE" w:rsidRPr="00D33BBE">
        <w:rPr>
          <w:color w:val="FFFFFF"/>
          <w:sz w:val="22"/>
          <w:szCs w:val="22"/>
        </w:rPr>
        <w:t>charge</w:t>
      </w:r>
      <w:r w:rsidRPr="00AF199F">
        <w:rPr>
          <w:color w:val="FFFFFF"/>
          <w:sz w:val="22"/>
          <w:szCs w:val="22"/>
        </w:rPr>
        <w:t xml:space="preserve"> rate</w:t>
      </w:r>
    </w:p>
    <w:p w:rsidR="00B858FE" w:rsidRPr="00F278FC" w:rsidRDefault="00B858FE" w:rsidP="00E84004">
      <w:pPr>
        <w:tabs>
          <w:tab w:val="left" w:pos="142"/>
          <w:tab w:val="left" w:pos="1620"/>
        </w:tabs>
        <w:spacing w:after="120"/>
        <w:ind w:left="-567" w:right="-312"/>
        <w:jc w:val="left"/>
        <w:rPr>
          <w:sz w:val="22"/>
          <w:szCs w:val="22"/>
        </w:rPr>
      </w:pPr>
    </w:p>
    <w:p w:rsidR="00CB5EE5" w:rsidRDefault="00CB5EE5" w:rsidP="00E84004">
      <w:pPr>
        <w:tabs>
          <w:tab w:val="left" w:pos="142"/>
          <w:tab w:val="left" w:pos="1620"/>
        </w:tabs>
        <w:ind w:left="-567" w:right="-312"/>
        <w:jc w:val="left"/>
        <w:rPr>
          <w:rFonts w:ascii="Arial Bold" w:hAnsi="Arial Bold"/>
          <w:b/>
          <w:caps/>
          <w:sz w:val="22"/>
          <w:szCs w:val="22"/>
        </w:rPr>
      </w:pPr>
    </w:p>
    <w:p w:rsidR="00CB5EE5" w:rsidRPr="00AF199F" w:rsidRDefault="00CB5EE5" w:rsidP="00AF199F">
      <w:pPr>
        <w:pStyle w:val="Heading3"/>
        <w:pBdr>
          <w:top w:val="single" w:sz="4" w:space="3" w:color="9BBB59"/>
          <w:bottom w:val="single" w:sz="4" w:space="10" w:color="9BBB59"/>
        </w:pBdr>
        <w:tabs>
          <w:tab w:val="left" w:pos="142"/>
        </w:tabs>
        <w:ind w:left="-567" w:right="-312"/>
        <w:rPr>
          <w:color w:val="9BBB59"/>
        </w:rPr>
      </w:pPr>
      <w:r w:rsidRPr="00AF199F">
        <w:rPr>
          <w:color w:val="9BBB59"/>
        </w:rPr>
        <w:t>Step 1 Determining the TO allowed revenue</w:t>
      </w:r>
    </w:p>
    <w:p w:rsidR="00CB5EE5" w:rsidRDefault="00CB5EE5" w:rsidP="00E84004">
      <w:pPr>
        <w:tabs>
          <w:tab w:val="left" w:pos="0"/>
          <w:tab w:val="left" w:pos="142"/>
        </w:tabs>
        <w:ind w:left="-567" w:right="-312"/>
        <w:jc w:val="left"/>
        <w:rPr>
          <w:rFonts w:ascii="Arial Bold" w:hAnsi="Arial Bold"/>
          <w:b/>
          <w:caps/>
          <w:sz w:val="22"/>
          <w:szCs w:val="22"/>
        </w:rPr>
      </w:pPr>
    </w:p>
    <w:p w:rsidR="00CB5EE5" w:rsidRDefault="00CB5EE5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  <w:r w:rsidRPr="00CB5EE5">
        <w:rPr>
          <w:sz w:val="22"/>
          <w:szCs w:val="22"/>
        </w:rPr>
        <w:t>This</w:t>
      </w:r>
      <w:r>
        <w:rPr>
          <w:sz w:val="22"/>
          <w:szCs w:val="22"/>
        </w:rPr>
        <w:t xml:space="preserve"> step is </w:t>
      </w:r>
      <w:proofErr w:type="gramStart"/>
      <w:r>
        <w:rPr>
          <w:sz w:val="22"/>
          <w:szCs w:val="22"/>
        </w:rPr>
        <w:t>exactly the same</w:t>
      </w:r>
      <w:proofErr w:type="gramEnd"/>
      <w:r>
        <w:rPr>
          <w:sz w:val="22"/>
          <w:szCs w:val="22"/>
        </w:rPr>
        <w:t xml:space="preserve"> as Step 1 used to calculate the </w:t>
      </w:r>
      <w:r w:rsidR="009D67C2">
        <w:rPr>
          <w:sz w:val="22"/>
          <w:szCs w:val="22"/>
        </w:rPr>
        <w:t>TO Entry Commodity</w:t>
      </w:r>
      <w:r>
        <w:rPr>
          <w:sz w:val="22"/>
          <w:szCs w:val="22"/>
        </w:rPr>
        <w:t xml:space="preserve">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 xml:space="preserve"> as shown </w:t>
      </w:r>
      <w:r w:rsidRPr="00AA54A3">
        <w:rPr>
          <w:sz w:val="22"/>
          <w:szCs w:val="22"/>
        </w:rPr>
        <w:t xml:space="preserve">on page </w:t>
      </w:r>
      <w:r w:rsidR="00C95FE4" w:rsidRPr="00AA54A3">
        <w:rPr>
          <w:sz w:val="22"/>
          <w:szCs w:val="22"/>
        </w:rPr>
        <w:t>6</w:t>
      </w:r>
      <w:r w:rsidRPr="00AA54A3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this document.</w:t>
      </w:r>
    </w:p>
    <w:p w:rsidR="00CB5EE5" w:rsidRDefault="00CB5EE5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</w:p>
    <w:p w:rsidR="00CB5EE5" w:rsidRPr="00AF199F" w:rsidRDefault="00CB5EE5" w:rsidP="00AF199F">
      <w:pPr>
        <w:pStyle w:val="Heading3"/>
        <w:pBdr>
          <w:top w:val="single" w:sz="4" w:space="3" w:color="9BBB59"/>
          <w:bottom w:val="single" w:sz="4" w:space="10" w:color="9BBB59"/>
        </w:pBdr>
        <w:tabs>
          <w:tab w:val="left" w:pos="142"/>
        </w:tabs>
        <w:ind w:left="-567" w:right="-312"/>
        <w:rPr>
          <w:color w:val="9BBB59"/>
        </w:rPr>
      </w:pPr>
      <w:r w:rsidRPr="00AF199F">
        <w:rPr>
          <w:color w:val="9BBB59"/>
        </w:rPr>
        <w:t>Step 2: Determining the</w:t>
      </w:r>
      <w:r w:rsidR="00E16A98" w:rsidRPr="00AF199F">
        <w:rPr>
          <w:color w:val="9BBB59"/>
        </w:rPr>
        <w:t xml:space="preserve"> initial</w:t>
      </w:r>
      <w:r w:rsidRPr="00AF199F">
        <w:rPr>
          <w:color w:val="9BBB59"/>
        </w:rPr>
        <w:t xml:space="preserve"> target Exit Revenue </w:t>
      </w:r>
    </w:p>
    <w:p w:rsidR="00CB5EE5" w:rsidRPr="00550607" w:rsidRDefault="00CB5EE5" w:rsidP="00E84004">
      <w:pPr>
        <w:tabs>
          <w:tab w:val="left" w:pos="142"/>
          <w:tab w:val="left" w:pos="1620"/>
        </w:tabs>
        <w:ind w:left="-567" w:right="-312"/>
        <w:rPr>
          <w:sz w:val="22"/>
          <w:szCs w:val="22"/>
        </w:rPr>
      </w:pPr>
    </w:p>
    <w:p w:rsidR="00CB5EE5" w:rsidRPr="00AF199F" w:rsidRDefault="00CB5EE5" w:rsidP="00E84004">
      <w:pPr>
        <w:tabs>
          <w:tab w:val="left" w:pos="142"/>
        </w:tabs>
        <w:ind w:left="-567" w:right="-312"/>
        <w:rPr>
          <w:b/>
          <w:color w:val="9BBB59"/>
          <w:sz w:val="22"/>
          <w:szCs w:val="22"/>
        </w:rPr>
      </w:pPr>
      <w:r w:rsidRPr="00AF199F">
        <w:rPr>
          <w:b/>
          <w:color w:val="9BBB59"/>
          <w:sz w:val="22"/>
          <w:szCs w:val="22"/>
        </w:rPr>
        <w:t>TO exit allowed revenue</w:t>
      </w:r>
    </w:p>
    <w:p w:rsidR="00593368" w:rsidRPr="009008CC" w:rsidRDefault="00593368" w:rsidP="00E84004">
      <w:pPr>
        <w:tabs>
          <w:tab w:val="left" w:pos="142"/>
        </w:tabs>
        <w:ind w:left="-567" w:right="-312"/>
        <w:jc w:val="left"/>
        <w:rPr>
          <w:sz w:val="22"/>
          <w:szCs w:val="22"/>
        </w:rPr>
      </w:pPr>
    </w:p>
    <w:p w:rsidR="004839F4" w:rsidRPr="00AF199F" w:rsidRDefault="004839F4" w:rsidP="00E84004">
      <w:pPr>
        <w:tabs>
          <w:tab w:val="left" w:pos="142"/>
        </w:tabs>
        <w:ind w:left="-567" w:right="-312"/>
        <w:jc w:val="left"/>
        <w:rPr>
          <w:b/>
          <w:color w:val="9BBB59"/>
          <w:sz w:val="22"/>
          <w:szCs w:val="22"/>
        </w:rPr>
      </w:pPr>
      <w:r w:rsidRPr="009008CC">
        <w:rPr>
          <w:sz w:val="22"/>
          <w:szCs w:val="22"/>
        </w:rPr>
        <w:t xml:space="preserve"> </w:t>
      </w:r>
      <w:r w:rsidR="00E16A98" w:rsidRPr="00AF199F">
        <w:rPr>
          <w:color w:val="9BBB59"/>
          <w:sz w:val="22"/>
          <w:szCs w:val="22"/>
        </w:rPr>
        <w:t>The initial target Exit Revenue</w:t>
      </w:r>
      <w:r w:rsidR="00C04F7B" w:rsidRPr="00AF199F">
        <w:rPr>
          <w:color w:val="9BBB59"/>
          <w:sz w:val="22"/>
          <w:szCs w:val="22"/>
        </w:rPr>
        <w:t xml:space="preserve"> is shown in</w:t>
      </w:r>
      <w:r w:rsidR="00C04F7B" w:rsidRPr="00AF199F">
        <w:rPr>
          <w:b/>
          <w:color w:val="9BBB59"/>
          <w:sz w:val="22"/>
          <w:szCs w:val="22"/>
        </w:rPr>
        <w:t xml:space="preserve"> Table 1</w:t>
      </w:r>
      <w:r w:rsidRPr="00AF199F">
        <w:rPr>
          <w:b/>
          <w:color w:val="9BBB59"/>
          <w:sz w:val="22"/>
          <w:szCs w:val="22"/>
        </w:rPr>
        <w:t>7</w:t>
      </w:r>
      <w:r w:rsidR="00006B9D" w:rsidRPr="00AF199F">
        <w:rPr>
          <w:b/>
          <w:color w:val="9BBB59"/>
          <w:sz w:val="22"/>
          <w:szCs w:val="22"/>
        </w:rPr>
        <w:t xml:space="preserve"> (from Table 12)</w:t>
      </w:r>
    </w:p>
    <w:p w:rsidR="00DE1321" w:rsidRPr="004839F4" w:rsidRDefault="00DE1321" w:rsidP="00E84004">
      <w:pPr>
        <w:tabs>
          <w:tab w:val="left" w:pos="142"/>
        </w:tabs>
        <w:ind w:left="-567" w:right="-312"/>
        <w:jc w:val="left"/>
        <w:rPr>
          <w:sz w:val="22"/>
          <w:szCs w:val="22"/>
        </w:rPr>
      </w:pPr>
    </w:p>
    <w:p w:rsidR="00271972" w:rsidRDefault="00271972" w:rsidP="00E84004">
      <w:pPr>
        <w:tabs>
          <w:tab w:val="left" w:pos="142"/>
        </w:tabs>
        <w:ind w:left="-567" w:right="-312"/>
        <w:jc w:val="left"/>
        <w:rPr>
          <w:sz w:val="22"/>
          <w:szCs w:val="22"/>
        </w:rPr>
      </w:pPr>
      <w:r>
        <w:rPr>
          <w:sz w:val="22"/>
          <w:szCs w:val="22"/>
        </w:rPr>
        <w:t>This gives the</w:t>
      </w:r>
      <w:r w:rsidR="000965E3">
        <w:rPr>
          <w:sz w:val="22"/>
          <w:szCs w:val="22"/>
        </w:rPr>
        <w:t xml:space="preserve"> </w:t>
      </w:r>
      <w:r w:rsidR="00DC206B">
        <w:rPr>
          <w:sz w:val="22"/>
          <w:szCs w:val="22"/>
        </w:rPr>
        <w:t xml:space="preserve">TO </w:t>
      </w:r>
      <w:r w:rsidR="002174B3">
        <w:rPr>
          <w:sz w:val="22"/>
          <w:szCs w:val="22"/>
        </w:rPr>
        <w:t>Exit Revenue to recover within</w:t>
      </w:r>
      <w:r>
        <w:rPr>
          <w:sz w:val="22"/>
          <w:szCs w:val="22"/>
        </w:rPr>
        <w:t xml:space="preserve"> the formula year</w:t>
      </w:r>
      <w:r w:rsidR="00DC206B">
        <w:rPr>
          <w:sz w:val="22"/>
          <w:szCs w:val="22"/>
        </w:rPr>
        <w:t xml:space="preserve"> from TO Exit Capacity </w:t>
      </w:r>
      <w:r w:rsidR="000214BE">
        <w:rPr>
          <w:sz w:val="22"/>
          <w:szCs w:val="22"/>
        </w:rPr>
        <w:t>charge</w:t>
      </w:r>
      <w:r w:rsidR="00DC206B">
        <w:rPr>
          <w:sz w:val="22"/>
          <w:szCs w:val="22"/>
        </w:rPr>
        <w:t>s</w:t>
      </w:r>
    </w:p>
    <w:p w:rsidR="00271972" w:rsidRPr="007D3DBE" w:rsidRDefault="00271972" w:rsidP="00E84004">
      <w:pPr>
        <w:tabs>
          <w:tab w:val="left" w:pos="142"/>
        </w:tabs>
        <w:ind w:left="-567" w:right="-312"/>
        <w:jc w:val="left"/>
        <w:rPr>
          <w:sz w:val="22"/>
          <w:szCs w:val="22"/>
        </w:rPr>
      </w:pPr>
    </w:p>
    <w:p w:rsidR="008B411A" w:rsidRPr="00AF199F" w:rsidRDefault="008B411A" w:rsidP="00AF199F">
      <w:pPr>
        <w:pStyle w:val="Heading3"/>
        <w:pBdr>
          <w:top w:val="single" w:sz="4" w:space="3" w:color="9BBB59"/>
          <w:bottom w:val="single" w:sz="4" w:space="10" w:color="9BBB59"/>
        </w:pBdr>
        <w:tabs>
          <w:tab w:val="left" w:pos="142"/>
        </w:tabs>
        <w:ind w:left="-567" w:right="-312"/>
        <w:rPr>
          <w:color w:val="9BBB59"/>
        </w:rPr>
      </w:pPr>
      <w:r w:rsidRPr="00AF199F">
        <w:rPr>
          <w:color w:val="9BBB59"/>
        </w:rPr>
        <w:t xml:space="preserve">Step 3: Determining the </w:t>
      </w:r>
      <w:r w:rsidR="000965E3" w:rsidRPr="00AF199F">
        <w:rPr>
          <w:color w:val="9BBB59"/>
        </w:rPr>
        <w:t xml:space="preserve">Transportation </w:t>
      </w:r>
      <w:r w:rsidR="00991AA4" w:rsidRPr="00AF199F">
        <w:rPr>
          <w:color w:val="9BBB59"/>
        </w:rPr>
        <w:t>M</w:t>
      </w:r>
      <w:r w:rsidR="000965E3" w:rsidRPr="00AF199F">
        <w:rPr>
          <w:color w:val="9BBB59"/>
        </w:rPr>
        <w:t xml:space="preserve">odel </w:t>
      </w:r>
      <w:proofErr w:type="gramStart"/>
      <w:r w:rsidRPr="00AF199F">
        <w:rPr>
          <w:color w:val="9BBB59"/>
        </w:rPr>
        <w:t>target</w:t>
      </w:r>
      <w:proofErr w:type="gramEnd"/>
      <w:r w:rsidRPr="00AF199F">
        <w:rPr>
          <w:color w:val="9BBB59"/>
        </w:rPr>
        <w:t xml:space="preserve"> Exit Revenue </w:t>
      </w:r>
    </w:p>
    <w:p w:rsidR="00271972" w:rsidRDefault="00271972" w:rsidP="00E84004">
      <w:pPr>
        <w:tabs>
          <w:tab w:val="left" w:pos="0"/>
          <w:tab w:val="left" w:pos="142"/>
        </w:tabs>
        <w:ind w:left="-567" w:right="-312"/>
        <w:jc w:val="left"/>
        <w:rPr>
          <w:rFonts w:ascii="Arial Bold" w:hAnsi="Arial Bold"/>
          <w:b/>
          <w:caps/>
          <w:sz w:val="22"/>
          <w:szCs w:val="22"/>
        </w:rPr>
      </w:pPr>
    </w:p>
    <w:p w:rsidR="000965E3" w:rsidRPr="008714E7" w:rsidRDefault="00DE4E92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  <w:r>
        <w:rPr>
          <w:sz w:val="22"/>
          <w:szCs w:val="22"/>
        </w:rPr>
        <w:t>Wh</w:t>
      </w:r>
      <w:r w:rsidR="00307ECC">
        <w:rPr>
          <w:sz w:val="22"/>
          <w:szCs w:val="22"/>
        </w:rPr>
        <w:t>en setting the Exit C</w:t>
      </w:r>
      <w:r>
        <w:rPr>
          <w:sz w:val="22"/>
          <w:szCs w:val="22"/>
        </w:rPr>
        <w:t xml:space="preserve">apacity </w:t>
      </w:r>
      <w:r w:rsidR="005833EB">
        <w:rPr>
          <w:sz w:val="22"/>
          <w:szCs w:val="22"/>
        </w:rPr>
        <w:t>charge</w:t>
      </w:r>
      <w:r>
        <w:rPr>
          <w:sz w:val="22"/>
          <w:szCs w:val="22"/>
        </w:rPr>
        <w:t>s in October, t</w:t>
      </w:r>
      <w:r w:rsidR="00271972">
        <w:rPr>
          <w:sz w:val="22"/>
          <w:szCs w:val="22"/>
        </w:rPr>
        <w:t xml:space="preserve">he </w:t>
      </w:r>
      <w:r w:rsidR="00991AA4">
        <w:rPr>
          <w:sz w:val="22"/>
          <w:szCs w:val="22"/>
        </w:rPr>
        <w:t xml:space="preserve">revenue </w:t>
      </w:r>
      <w:r w:rsidR="00271972">
        <w:rPr>
          <w:sz w:val="22"/>
          <w:szCs w:val="22"/>
        </w:rPr>
        <w:t xml:space="preserve">figure which is </w:t>
      </w:r>
      <w:proofErr w:type="gramStart"/>
      <w:r w:rsidR="00271972">
        <w:rPr>
          <w:sz w:val="22"/>
          <w:szCs w:val="22"/>
        </w:rPr>
        <w:t>entered into the</w:t>
      </w:r>
      <w:proofErr w:type="gramEnd"/>
      <w:r w:rsidR="00271972">
        <w:rPr>
          <w:sz w:val="22"/>
          <w:szCs w:val="22"/>
        </w:rPr>
        <w:t xml:space="preserve"> Transportation model differs from the target Exit Revenue to be collected for the formula year. This is because Exit </w:t>
      </w:r>
      <w:r w:rsidR="005833EB">
        <w:rPr>
          <w:sz w:val="22"/>
          <w:szCs w:val="22"/>
        </w:rPr>
        <w:t>charge</w:t>
      </w:r>
      <w:r w:rsidR="00271972">
        <w:rPr>
          <w:sz w:val="22"/>
          <w:szCs w:val="22"/>
        </w:rPr>
        <w:t>s are set and fixed for the capacity year October</w:t>
      </w:r>
      <w:r w:rsidR="00271972" w:rsidRPr="00271972">
        <w:rPr>
          <w:sz w:val="22"/>
          <w:szCs w:val="22"/>
          <w:vertAlign w:val="subscript"/>
        </w:rPr>
        <w:t>t</w:t>
      </w:r>
      <w:r w:rsidR="00271972">
        <w:rPr>
          <w:sz w:val="22"/>
          <w:szCs w:val="22"/>
        </w:rPr>
        <w:t xml:space="preserve"> to </w:t>
      </w:r>
      <w:r w:rsidR="00991AA4">
        <w:rPr>
          <w:sz w:val="22"/>
          <w:szCs w:val="22"/>
        </w:rPr>
        <w:t>September</w:t>
      </w:r>
      <w:r w:rsidR="00271972" w:rsidRPr="00271972">
        <w:rPr>
          <w:sz w:val="22"/>
          <w:szCs w:val="22"/>
          <w:vertAlign w:val="subscript"/>
        </w:rPr>
        <w:t xml:space="preserve">t+1 </w:t>
      </w:r>
      <w:r w:rsidR="00271972">
        <w:rPr>
          <w:sz w:val="22"/>
          <w:szCs w:val="22"/>
        </w:rPr>
        <w:t>whereas the formula year runs from April</w:t>
      </w:r>
      <w:r w:rsidR="00271972" w:rsidRPr="00271972">
        <w:rPr>
          <w:sz w:val="22"/>
          <w:szCs w:val="22"/>
          <w:vertAlign w:val="subscript"/>
        </w:rPr>
        <w:t>t</w:t>
      </w:r>
      <w:r w:rsidR="00271972">
        <w:rPr>
          <w:sz w:val="22"/>
          <w:szCs w:val="22"/>
        </w:rPr>
        <w:t xml:space="preserve"> to </w:t>
      </w:r>
      <w:r w:rsidR="00991AA4">
        <w:rPr>
          <w:sz w:val="22"/>
          <w:szCs w:val="22"/>
        </w:rPr>
        <w:t>March</w:t>
      </w:r>
      <w:r w:rsidR="00271972" w:rsidRPr="00271972">
        <w:rPr>
          <w:sz w:val="22"/>
          <w:szCs w:val="22"/>
          <w:vertAlign w:val="subscript"/>
        </w:rPr>
        <w:t>t+1</w:t>
      </w:r>
      <w:r w:rsidR="008714E7">
        <w:rPr>
          <w:sz w:val="22"/>
          <w:szCs w:val="22"/>
        </w:rPr>
        <w:t>.</w:t>
      </w:r>
    </w:p>
    <w:p w:rsidR="000965E3" w:rsidRDefault="000965E3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</w:p>
    <w:p w:rsidR="000965E3" w:rsidRDefault="000965E3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When setting Exit Capacity </w:t>
      </w:r>
      <w:r w:rsidR="005833EB">
        <w:rPr>
          <w:sz w:val="22"/>
          <w:szCs w:val="22"/>
        </w:rPr>
        <w:t>charge</w:t>
      </w:r>
      <w:r>
        <w:rPr>
          <w:sz w:val="22"/>
          <w:szCs w:val="22"/>
        </w:rPr>
        <w:t>s for October</w:t>
      </w:r>
      <w:r w:rsidRPr="000965E3">
        <w:rPr>
          <w:sz w:val="22"/>
          <w:szCs w:val="22"/>
          <w:vertAlign w:val="subscript"/>
        </w:rPr>
        <w:t>t</w:t>
      </w:r>
      <w:r>
        <w:rPr>
          <w:sz w:val="22"/>
          <w:szCs w:val="22"/>
        </w:rPr>
        <w:t xml:space="preserve"> the revenue recovered over the period April</w:t>
      </w:r>
      <w:r w:rsidRPr="000965E3">
        <w:rPr>
          <w:sz w:val="22"/>
          <w:szCs w:val="22"/>
          <w:vertAlign w:val="subscript"/>
        </w:rPr>
        <w:t xml:space="preserve">t </w:t>
      </w:r>
      <w:r>
        <w:rPr>
          <w:sz w:val="22"/>
          <w:szCs w:val="22"/>
        </w:rPr>
        <w:t>to October</w:t>
      </w:r>
      <w:r w:rsidRPr="000965E3">
        <w:rPr>
          <w:sz w:val="22"/>
          <w:szCs w:val="22"/>
          <w:vertAlign w:val="subscript"/>
        </w:rPr>
        <w:t xml:space="preserve">t </w:t>
      </w:r>
      <w:r>
        <w:rPr>
          <w:sz w:val="22"/>
          <w:szCs w:val="22"/>
        </w:rPr>
        <w:t>(set by the previous years</w:t>
      </w:r>
      <w:r w:rsidR="00003B0B">
        <w:rPr>
          <w:sz w:val="22"/>
          <w:szCs w:val="22"/>
        </w:rPr>
        <w:t>’</w:t>
      </w:r>
      <w:r>
        <w:rPr>
          <w:sz w:val="22"/>
          <w:szCs w:val="22"/>
        </w:rPr>
        <w:t xml:space="preserve"> Exit Capacity </w:t>
      </w:r>
      <w:r w:rsidR="005833EB">
        <w:rPr>
          <w:sz w:val="22"/>
          <w:szCs w:val="22"/>
        </w:rPr>
        <w:t>charge</w:t>
      </w:r>
      <w:r>
        <w:rPr>
          <w:sz w:val="22"/>
          <w:szCs w:val="22"/>
        </w:rPr>
        <w:t xml:space="preserve">s) needs to be </w:t>
      </w:r>
      <w:proofErr w:type="gramStart"/>
      <w:r>
        <w:rPr>
          <w:sz w:val="22"/>
          <w:szCs w:val="22"/>
        </w:rPr>
        <w:t>taken into account</w:t>
      </w:r>
      <w:proofErr w:type="gramEnd"/>
      <w:r>
        <w:rPr>
          <w:sz w:val="22"/>
          <w:szCs w:val="22"/>
        </w:rPr>
        <w:t>.</w:t>
      </w:r>
    </w:p>
    <w:p w:rsidR="000965E3" w:rsidRDefault="000965E3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</w:p>
    <w:p w:rsidR="00E10548" w:rsidRDefault="00E10548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</w:p>
    <w:p w:rsidR="00E10548" w:rsidRDefault="00E10548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</w:p>
    <w:p w:rsidR="00E10548" w:rsidRDefault="00E10548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</w:p>
    <w:p w:rsidR="000965E3" w:rsidRDefault="000965E3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Therefore</w:t>
      </w:r>
      <w:proofErr w:type="gramEnd"/>
      <w:r>
        <w:rPr>
          <w:sz w:val="22"/>
          <w:szCs w:val="22"/>
        </w:rPr>
        <w:t xml:space="preserve"> the target exit revenue to input into the model is derived from the following formula</w:t>
      </w:r>
      <w:r w:rsidR="00991AA4">
        <w:rPr>
          <w:sz w:val="22"/>
          <w:szCs w:val="22"/>
        </w:rPr>
        <w:t>.</w:t>
      </w:r>
    </w:p>
    <w:p w:rsidR="000965E3" w:rsidRDefault="000965E3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</w:p>
    <w:p w:rsidR="000965E3" w:rsidRPr="00991AA4" w:rsidRDefault="000965E3" w:rsidP="00925C35">
      <w:pPr>
        <w:tabs>
          <w:tab w:val="left" w:pos="0"/>
          <w:tab w:val="left" w:pos="142"/>
        </w:tabs>
        <w:ind w:left="284" w:right="-312"/>
        <w:jc w:val="left"/>
        <w:rPr>
          <w:sz w:val="22"/>
          <w:szCs w:val="22"/>
        </w:rPr>
      </w:pPr>
      <w:r w:rsidRPr="00991AA4">
        <w:rPr>
          <w:sz w:val="22"/>
          <w:szCs w:val="22"/>
        </w:rPr>
        <w:t>Transportation model target Exit Revenue =</w:t>
      </w:r>
    </w:p>
    <w:p w:rsidR="000965E3" w:rsidRDefault="000965E3" w:rsidP="00925C35">
      <w:pPr>
        <w:tabs>
          <w:tab w:val="left" w:pos="0"/>
          <w:tab w:val="left" w:pos="142"/>
        </w:tabs>
        <w:ind w:left="284" w:right="-312"/>
        <w:jc w:val="left"/>
        <w:rPr>
          <w:sz w:val="22"/>
          <w:szCs w:val="22"/>
        </w:rPr>
      </w:pPr>
    </w:p>
    <w:p w:rsidR="000965E3" w:rsidRDefault="00241304" w:rsidP="00925C35">
      <w:pPr>
        <w:tabs>
          <w:tab w:val="left" w:pos="0"/>
          <w:tab w:val="left" w:pos="142"/>
        </w:tabs>
        <w:ind w:left="284" w:right="-312"/>
        <w:jc w:val="left"/>
        <w:rPr>
          <w:sz w:val="22"/>
          <w:szCs w:val="22"/>
        </w:rPr>
      </w:pPr>
      <w:r>
        <w:rPr>
          <w:sz w:val="22"/>
          <w:szCs w:val="22"/>
        </w:rPr>
        <w:t>(</w:t>
      </w:r>
      <w:r w:rsidR="00991AA4">
        <w:rPr>
          <w:sz w:val="22"/>
          <w:szCs w:val="22"/>
        </w:rPr>
        <w:t xml:space="preserve">Initial </w:t>
      </w:r>
      <w:r w:rsidR="000965E3">
        <w:rPr>
          <w:sz w:val="22"/>
          <w:szCs w:val="22"/>
        </w:rPr>
        <w:t xml:space="preserve">target Exit Revenue – </w:t>
      </w:r>
      <w:r w:rsidR="00991AA4">
        <w:rPr>
          <w:sz w:val="22"/>
          <w:szCs w:val="22"/>
        </w:rPr>
        <w:t>Forecast</w:t>
      </w:r>
      <w:r w:rsidR="00544FB6">
        <w:rPr>
          <w:sz w:val="22"/>
          <w:szCs w:val="22"/>
        </w:rPr>
        <w:t xml:space="preserve"> </w:t>
      </w:r>
      <w:r w:rsidR="000965E3">
        <w:rPr>
          <w:sz w:val="22"/>
          <w:szCs w:val="22"/>
        </w:rPr>
        <w:t>Exit Revenue Apr to Oct</w:t>
      </w:r>
      <w:r>
        <w:rPr>
          <w:sz w:val="22"/>
          <w:szCs w:val="22"/>
        </w:rPr>
        <w:t>)</w:t>
      </w:r>
      <w:r w:rsidR="000965E3">
        <w:rPr>
          <w:sz w:val="22"/>
          <w:szCs w:val="22"/>
        </w:rPr>
        <w:t xml:space="preserve"> x 2</w:t>
      </w:r>
    </w:p>
    <w:p w:rsidR="000965E3" w:rsidRDefault="000965E3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</w:p>
    <w:p w:rsidR="002E11B5" w:rsidRDefault="000965E3" w:rsidP="00E84004">
      <w:pPr>
        <w:tabs>
          <w:tab w:val="left" w:pos="0"/>
          <w:tab w:val="left" w:pos="142"/>
        </w:tabs>
        <w:ind w:left="-567" w:right="-312"/>
        <w:jc w:val="left"/>
        <w:rPr>
          <w:b/>
          <w:color w:val="9BBB59"/>
          <w:sz w:val="22"/>
          <w:szCs w:val="22"/>
        </w:rPr>
      </w:pPr>
      <w:r>
        <w:rPr>
          <w:sz w:val="22"/>
          <w:szCs w:val="22"/>
        </w:rPr>
        <w:t xml:space="preserve">The formula is multiplied by two as Exit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>s are fixed for a</w:t>
      </w:r>
      <w:r w:rsidR="00991AA4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991AA4">
        <w:rPr>
          <w:sz w:val="22"/>
          <w:szCs w:val="22"/>
        </w:rPr>
        <w:t>entire Gas</w:t>
      </w:r>
      <w:r>
        <w:rPr>
          <w:sz w:val="22"/>
          <w:szCs w:val="22"/>
        </w:rPr>
        <w:t xml:space="preserve"> year. </w:t>
      </w:r>
      <w:r w:rsidR="00991AA4">
        <w:rPr>
          <w:sz w:val="22"/>
          <w:szCs w:val="22"/>
        </w:rPr>
        <w:t>T</w:t>
      </w:r>
      <w:r>
        <w:rPr>
          <w:sz w:val="22"/>
          <w:szCs w:val="22"/>
        </w:rPr>
        <w:t xml:space="preserve">o recover £100m for the final 6 months, £200m needs to be </w:t>
      </w:r>
      <w:proofErr w:type="gramStart"/>
      <w:r w:rsidR="00991AA4">
        <w:rPr>
          <w:sz w:val="22"/>
          <w:szCs w:val="22"/>
        </w:rPr>
        <w:t>entered</w:t>
      </w:r>
      <w:r>
        <w:rPr>
          <w:sz w:val="22"/>
          <w:szCs w:val="22"/>
        </w:rPr>
        <w:t xml:space="preserve"> into the</w:t>
      </w:r>
      <w:proofErr w:type="gramEnd"/>
      <w:r>
        <w:rPr>
          <w:sz w:val="22"/>
          <w:szCs w:val="22"/>
        </w:rPr>
        <w:t xml:space="preserve"> </w:t>
      </w:r>
      <w:r w:rsidR="00991AA4">
        <w:rPr>
          <w:sz w:val="22"/>
          <w:szCs w:val="22"/>
        </w:rPr>
        <w:t xml:space="preserve">Transport </w:t>
      </w:r>
      <w:r>
        <w:rPr>
          <w:sz w:val="22"/>
          <w:szCs w:val="22"/>
        </w:rPr>
        <w:t xml:space="preserve">model as the Transportation Model calculates a daily exit </w:t>
      </w:r>
      <w:r w:rsidR="005833EB">
        <w:rPr>
          <w:sz w:val="22"/>
          <w:szCs w:val="22"/>
        </w:rPr>
        <w:t>charge</w:t>
      </w:r>
      <w:r>
        <w:rPr>
          <w:sz w:val="22"/>
          <w:szCs w:val="22"/>
        </w:rPr>
        <w:t xml:space="preserve"> per day for a full year</w:t>
      </w:r>
      <w:r w:rsidR="00CC631A">
        <w:rPr>
          <w:sz w:val="22"/>
          <w:szCs w:val="22"/>
        </w:rPr>
        <w:t xml:space="preserve"> October</w:t>
      </w:r>
      <w:r w:rsidR="00CC631A" w:rsidRPr="00CC631A">
        <w:rPr>
          <w:sz w:val="22"/>
          <w:szCs w:val="22"/>
          <w:vertAlign w:val="subscript"/>
        </w:rPr>
        <w:t>t</w:t>
      </w:r>
      <w:r w:rsidR="00CC631A">
        <w:rPr>
          <w:sz w:val="22"/>
          <w:szCs w:val="22"/>
        </w:rPr>
        <w:t xml:space="preserve"> to </w:t>
      </w:r>
      <w:r w:rsidR="00991AA4">
        <w:rPr>
          <w:sz w:val="22"/>
          <w:szCs w:val="22"/>
        </w:rPr>
        <w:t>September</w:t>
      </w:r>
      <w:r w:rsidR="00991AA4" w:rsidRPr="00CC631A">
        <w:rPr>
          <w:sz w:val="22"/>
          <w:szCs w:val="22"/>
          <w:vertAlign w:val="subscript"/>
        </w:rPr>
        <w:t>t</w:t>
      </w:r>
      <w:r w:rsidR="00CC631A" w:rsidRPr="00CC631A">
        <w:rPr>
          <w:sz w:val="22"/>
          <w:szCs w:val="22"/>
          <w:vertAlign w:val="subscript"/>
        </w:rPr>
        <w:t>+1</w:t>
      </w:r>
      <w:r>
        <w:rPr>
          <w:sz w:val="22"/>
          <w:szCs w:val="22"/>
        </w:rPr>
        <w:t>.</w:t>
      </w:r>
      <w:r w:rsidR="00D86C7B">
        <w:rPr>
          <w:sz w:val="22"/>
          <w:szCs w:val="22"/>
        </w:rPr>
        <w:t xml:space="preserve"> </w:t>
      </w:r>
    </w:p>
    <w:p w:rsidR="001A2942" w:rsidRDefault="001A2942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</w:p>
    <w:p w:rsidR="00003B0B" w:rsidRDefault="00003B0B" w:rsidP="0088715F">
      <w:pPr>
        <w:tabs>
          <w:tab w:val="left" w:pos="0"/>
          <w:tab w:val="left" w:pos="142"/>
        </w:tabs>
        <w:ind w:left="-567" w:right="-312"/>
        <w:jc w:val="left"/>
        <w:rPr>
          <w:color w:val="9BBB59"/>
          <w:sz w:val="22"/>
          <w:szCs w:val="22"/>
        </w:rPr>
      </w:pPr>
      <w:r w:rsidRPr="00AF199F">
        <w:rPr>
          <w:b/>
          <w:color w:val="9BBB59"/>
          <w:sz w:val="22"/>
          <w:szCs w:val="22"/>
        </w:rPr>
        <w:t>Table 18</w:t>
      </w:r>
      <w:r w:rsidRPr="00AF199F">
        <w:rPr>
          <w:color w:val="9BBB59"/>
          <w:sz w:val="22"/>
          <w:szCs w:val="22"/>
        </w:rPr>
        <w:t xml:space="preserve"> gives the details for the target revenue to be input into the Transportation model.</w:t>
      </w:r>
    </w:p>
    <w:p w:rsidR="00F74E9D" w:rsidRPr="00AF199F" w:rsidRDefault="00F74E9D" w:rsidP="00E84004">
      <w:pPr>
        <w:tabs>
          <w:tab w:val="left" w:pos="0"/>
          <w:tab w:val="left" w:pos="142"/>
        </w:tabs>
        <w:ind w:left="-567" w:right="-312"/>
        <w:jc w:val="left"/>
        <w:rPr>
          <w:color w:val="9BBB59"/>
          <w:sz w:val="22"/>
          <w:szCs w:val="22"/>
        </w:rPr>
      </w:pPr>
      <w:r>
        <w:rPr>
          <w:color w:val="9BBB59"/>
          <w:sz w:val="22"/>
          <w:szCs w:val="22"/>
        </w:rPr>
        <w:t>For the April 201</w:t>
      </w:r>
      <w:r w:rsidR="002E11B5">
        <w:rPr>
          <w:color w:val="9BBB59"/>
          <w:sz w:val="22"/>
          <w:szCs w:val="22"/>
        </w:rPr>
        <w:t>9</w:t>
      </w:r>
      <w:r>
        <w:rPr>
          <w:color w:val="9BBB59"/>
          <w:sz w:val="22"/>
          <w:szCs w:val="22"/>
        </w:rPr>
        <w:t xml:space="preserve"> commodity charges the latest view of the revenue needed to set the October 201</w:t>
      </w:r>
      <w:r w:rsidR="002E11B5">
        <w:rPr>
          <w:color w:val="9BBB59"/>
          <w:sz w:val="22"/>
          <w:szCs w:val="22"/>
        </w:rPr>
        <w:t>9</w:t>
      </w:r>
      <w:r>
        <w:rPr>
          <w:color w:val="9BBB59"/>
          <w:sz w:val="22"/>
          <w:szCs w:val="22"/>
        </w:rPr>
        <w:t xml:space="preserve"> Exit Capacity charges has been included in the analysis.</w:t>
      </w:r>
    </w:p>
    <w:p w:rsidR="001258C0" w:rsidRDefault="001258C0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</w:p>
    <w:p w:rsidR="00C43FAF" w:rsidRDefault="00C935CE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The Transportation Model sets both Baseline and Incremental Exit Capacity </w:t>
      </w:r>
      <w:r w:rsidR="005833EB">
        <w:rPr>
          <w:sz w:val="22"/>
          <w:szCs w:val="22"/>
        </w:rPr>
        <w:t>charge</w:t>
      </w:r>
      <w:r>
        <w:rPr>
          <w:sz w:val="22"/>
          <w:szCs w:val="22"/>
        </w:rPr>
        <w:t xml:space="preserve">s. Revenue from Baseline Capacity is classed as TO, whereas revenue from Incremental is classed as SO. </w:t>
      </w:r>
    </w:p>
    <w:p w:rsidR="00C04F7B" w:rsidRDefault="00C04F7B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</w:p>
    <w:p w:rsidR="006E64A8" w:rsidRPr="00AF199F" w:rsidRDefault="004648FD" w:rsidP="00AF199F">
      <w:pPr>
        <w:pStyle w:val="Heading3"/>
        <w:pBdr>
          <w:top w:val="single" w:sz="4" w:space="3" w:color="9BBB59"/>
          <w:bottom w:val="single" w:sz="4" w:space="10" w:color="9BBB59"/>
        </w:pBdr>
        <w:tabs>
          <w:tab w:val="left" w:pos="142"/>
        </w:tabs>
        <w:ind w:left="-567" w:right="-312"/>
        <w:rPr>
          <w:color w:val="9BBB59"/>
        </w:rPr>
      </w:pPr>
      <w:r w:rsidRPr="00AF199F">
        <w:rPr>
          <w:color w:val="9BBB59"/>
        </w:rPr>
        <w:t xml:space="preserve">Step 4: Determining the target revenue for the TO Exit Commodity </w:t>
      </w:r>
      <w:r w:rsidR="000214BE" w:rsidRPr="00D33BBE">
        <w:rPr>
          <w:color w:val="9BBB59"/>
        </w:rPr>
        <w:t>charge</w:t>
      </w:r>
    </w:p>
    <w:p w:rsidR="004648FD" w:rsidRPr="009008CC" w:rsidRDefault="006E64A8" w:rsidP="00E84004">
      <w:pPr>
        <w:tabs>
          <w:tab w:val="left" w:pos="0"/>
          <w:tab w:val="left" w:pos="142"/>
        </w:tabs>
        <w:ind w:left="-567" w:right="-312"/>
        <w:jc w:val="left"/>
        <w:rPr>
          <w:sz w:val="22"/>
          <w:szCs w:val="22"/>
        </w:rPr>
      </w:pPr>
      <w:r w:rsidRPr="009008CC">
        <w:rPr>
          <w:sz w:val="22"/>
          <w:szCs w:val="22"/>
        </w:rPr>
        <w:t xml:space="preserve">The TO Exit Commodity </w:t>
      </w:r>
      <w:r w:rsidR="005833EB">
        <w:rPr>
          <w:sz w:val="22"/>
          <w:szCs w:val="22"/>
        </w:rPr>
        <w:t>charge</w:t>
      </w:r>
      <w:r w:rsidRPr="009008CC">
        <w:rPr>
          <w:sz w:val="22"/>
          <w:szCs w:val="22"/>
        </w:rPr>
        <w:t xml:space="preserve">, which was introduced in October 2012, is a residual </w:t>
      </w:r>
      <w:r w:rsidR="005833EB">
        <w:rPr>
          <w:sz w:val="22"/>
          <w:szCs w:val="22"/>
        </w:rPr>
        <w:t>charge</w:t>
      </w:r>
      <w:r w:rsidRPr="009008CC">
        <w:rPr>
          <w:sz w:val="22"/>
          <w:szCs w:val="22"/>
        </w:rPr>
        <w:t xml:space="preserve"> to enable National Grid to collect the correct TO Exit income from exit shippers when capacity has not been booked up to the baseline.</w:t>
      </w:r>
    </w:p>
    <w:p w:rsidR="004648FD" w:rsidRPr="00AF199F" w:rsidRDefault="004648FD" w:rsidP="00E84004">
      <w:pPr>
        <w:tabs>
          <w:tab w:val="left" w:pos="0"/>
          <w:tab w:val="left" w:pos="142"/>
        </w:tabs>
        <w:ind w:left="-567" w:right="-312"/>
        <w:jc w:val="left"/>
        <w:rPr>
          <w:color w:val="9BBB59"/>
          <w:sz w:val="22"/>
          <w:szCs w:val="22"/>
        </w:rPr>
      </w:pPr>
    </w:p>
    <w:p w:rsidR="004648FD" w:rsidRPr="00AF199F" w:rsidRDefault="004648FD" w:rsidP="00E84004">
      <w:pPr>
        <w:tabs>
          <w:tab w:val="left" w:pos="0"/>
          <w:tab w:val="left" w:pos="142"/>
        </w:tabs>
        <w:ind w:left="-567" w:right="-312"/>
        <w:jc w:val="left"/>
        <w:rPr>
          <w:color w:val="9BBB59"/>
          <w:sz w:val="22"/>
          <w:szCs w:val="22"/>
        </w:rPr>
      </w:pPr>
      <w:r w:rsidRPr="00AF199F">
        <w:rPr>
          <w:color w:val="9BBB59"/>
          <w:sz w:val="22"/>
          <w:szCs w:val="22"/>
        </w:rPr>
        <w:t xml:space="preserve">Once the TO Exit allowed revenue has been determined, take forecast income from baseline exit capacity from this to give the revenue to be collected though the TO Exit </w:t>
      </w:r>
      <w:r w:rsidR="00E84206" w:rsidRPr="00AF199F">
        <w:rPr>
          <w:color w:val="9BBB59"/>
          <w:sz w:val="22"/>
          <w:szCs w:val="22"/>
        </w:rPr>
        <w:t>C</w:t>
      </w:r>
      <w:r w:rsidRPr="00AF199F">
        <w:rPr>
          <w:color w:val="9BBB59"/>
          <w:sz w:val="22"/>
          <w:szCs w:val="22"/>
        </w:rPr>
        <w:t xml:space="preserve">ommodity </w:t>
      </w:r>
      <w:r w:rsidR="005833EB" w:rsidRPr="00D33BBE">
        <w:rPr>
          <w:color w:val="9BBB59"/>
          <w:sz w:val="22"/>
          <w:szCs w:val="22"/>
        </w:rPr>
        <w:t>charge</w:t>
      </w:r>
      <w:r w:rsidRPr="00AF199F">
        <w:rPr>
          <w:color w:val="9BBB59"/>
          <w:sz w:val="22"/>
          <w:szCs w:val="22"/>
        </w:rPr>
        <w:t>.</w:t>
      </w:r>
      <w:r w:rsidR="00E84206" w:rsidRPr="00AF199F">
        <w:rPr>
          <w:color w:val="9BBB59"/>
          <w:sz w:val="22"/>
          <w:szCs w:val="22"/>
        </w:rPr>
        <w:t xml:space="preserve"> Details are shown in </w:t>
      </w:r>
      <w:r w:rsidR="00E84206" w:rsidRPr="00AF199F">
        <w:rPr>
          <w:b/>
          <w:color w:val="9BBB59"/>
          <w:sz w:val="22"/>
          <w:szCs w:val="22"/>
        </w:rPr>
        <w:t>Table</w:t>
      </w:r>
      <w:r w:rsidR="001A2942">
        <w:rPr>
          <w:b/>
          <w:color w:val="9BBB59"/>
          <w:sz w:val="22"/>
          <w:szCs w:val="22"/>
        </w:rPr>
        <w:t>s</w:t>
      </w:r>
      <w:r w:rsidR="00E84206" w:rsidRPr="00AF199F">
        <w:rPr>
          <w:b/>
          <w:color w:val="9BBB59"/>
          <w:sz w:val="22"/>
          <w:szCs w:val="22"/>
        </w:rPr>
        <w:t xml:space="preserve"> 19</w:t>
      </w:r>
      <w:r w:rsidR="001A2942">
        <w:rPr>
          <w:b/>
          <w:color w:val="9BBB59"/>
          <w:sz w:val="22"/>
          <w:szCs w:val="22"/>
        </w:rPr>
        <w:t xml:space="preserve"> and 20</w:t>
      </w:r>
      <w:r w:rsidR="00E84206" w:rsidRPr="00AF199F">
        <w:rPr>
          <w:color w:val="9BBB59"/>
          <w:sz w:val="22"/>
          <w:szCs w:val="22"/>
        </w:rPr>
        <w:t>.</w:t>
      </w:r>
    </w:p>
    <w:p w:rsidR="000B1802" w:rsidRPr="00AF199F" w:rsidRDefault="000B1802" w:rsidP="00E84004">
      <w:pPr>
        <w:tabs>
          <w:tab w:val="left" w:pos="0"/>
          <w:tab w:val="left" w:pos="142"/>
        </w:tabs>
        <w:ind w:left="-567" w:right="-312"/>
        <w:jc w:val="left"/>
        <w:rPr>
          <w:color w:val="9BBB59"/>
          <w:sz w:val="22"/>
          <w:szCs w:val="22"/>
        </w:rPr>
      </w:pPr>
    </w:p>
    <w:p w:rsidR="001E4EF6" w:rsidRDefault="00223D67" w:rsidP="00E84004">
      <w:pPr>
        <w:tabs>
          <w:tab w:val="left" w:pos="0"/>
          <w:tab w:val="left" w:pos="142"/>
        </w:tabs>
        <w:ind w:left="-567" w:right="-312"/>
        <w:jc w:val="left"/>
        <w:rPr>
          <w:color w:val="9BBB59"/>
          <w:sz w:val="22"/>
          <w:szCs w:val="22"/>
        </w:rPr>
      </w:pPr>
      <w:r w:rsidRPr="00AF199F">
        <w:rPr>
          <w:b/>
          <w:color w:val="9BBB59"/>
          <w:sz w:val="22"/>
          <w:szCs w:val="22"/>
        </w:rPr>
        <w:t xml:space="preserve">Table </w:t>
      </w:r>
      <w:r w:rsidR="000A1E8D">
        <w:rPr>
          <w:b/>
          <w:color w:val="9BBB59"/>
          <w:sz w:val="22"/>
          <w:szCs w:val="22"/>
        </w:rPr>
        <w:t>2</w:t>
      </w:r>
      <w:r w:rsidR="001A2942">
        <w:rPr>
          <w:b/>
          <w:color w:val="9BBB59"/>
          <w:sz w:val="22"/>
          <w:szCs w:val="22"/>
        </w:rPr>
        <w:t>1</w:t>
      </w:r>
      <w:r w:rsidRPr="00AF199F">
        <w:rPr>
          <w:color w:val="9BBB59"/>
          <w:sz w:val="22"/>
          <w:szCs w:val="22"/>
        </w:rPr>
        <w:t xml:space="preserve"> </w:t>
      </w:r>
      <w:r w:rsidR="00561C8D" w:rsidRPr="00561C8D">
        <w:rPr>
          <w:color w:val="9BBB59"/>
          <w:sz w:val="22"/>
          <w:szCs w:val="22"/>
        </w:rPr>
        <w:t xml:space="preserve">shows the volumes used for the prices set for </w:t>
      </w:r>
      <w:r w:rsidR="00E76A28">
        <w:rPr>
          <w:color w:val="9BBB59"/>
          <w:sz w:val="22"/>
          <w:szCs w:val="22"/>
        </w:rPr>
        <w:t>the</w:t>
      </w:r>
      <w:r w:rsidRPr="00AF199F">
        <w:rPr>
          <w:color w:val="9BBB59"/>
          <w:sz w:val="22"/>
          <w:szCs w:val="22"/>
        </w:rPr>
        <w:t xml:space="preserve"> </w:t>
      </w:r>
      <w:r w:rsidR="00E76A28">
        <w:rPr>
          <w:color w:val="9BBB59"/>
          <w:sz w:val="22"/>
          <w:szCs w:val="22"/>
        </w:rPr>
        <w:t>year.</w:t>
      </w:r>
    </w:p>
    <w:p w:rsidR="00223D67" w:rsidRPr="00AF199F" w:rsidRDefault="00223D67" w:rsidP="00E84004">
      <w:pPr>
        <w:tabs>
          <w:tab w:val="left" w:pos="0"/>
          <w:tab w:val="left" w:pos="142"/>
        </w:tabs>
        <w:ind w:left="-567" w:right="-312"/>
        <w:jc w:val="left"/>
        <w:rPr>
          <w:color w:val="9BBB59"/>
          <w:sz w:val="22"/>
          <w:szCs w:val="22"/>
        </w:rPr>
      </w:pPr>
      <w:r w:rsidRPr="00AF199F">
        <w:rPr>
          <w:color w:val="9BBB59"/>
          <w:sz w:val="22"/>
          <w:szCs w:val="22"/>
        </w:rPr>
        <w:t>.</w:t>
      </w:r>
    </w:p>
    <w:p w:rsidR="00223D67" w:rsidRPr="009008CC" w:rsidRDefault="00223D67" w:rsidP="00E84004">
      <w:pPr>
        <w:tabs>
          <w:tab w:val="left" w:pos="0"/>
          <w:tab w:val="left" w:pos="142"/>
        </w:tabs>
        <w:ind w:left="-567" w:right="-312"/>
        <w:jc w:val="left"/>
        <w:rPr>
          <w:color w:val="0070C0"/>
          <w:sz w:val="22"/>
          <w:szCs w:val="22"/>
        </w:rPr>
      </w:pPr>
    </w:p>
    <w:p w:rsidR="009A12D9" w:rsidRPr="00AF199F" w:rsidRDefault="00E84004" w:rsidP="00AF199F">
      <w:pPr>
        <w:pStyle w:val="Heading3"/>
        <w:pBdr>
          <w:top w:val="single" w:sz="4" w:space="3" w:color="9BBB59"/>
          <w:bottom w:val="single" w:sz="4" w:space="10" w:color="9BBB59"/>
        </w:pBdr>
        <w:tabs>
          <w:tab w:val="left" w:pos="142"/>
        </w:tabs>
        <w:ind w:left="-567" w:right="-312"/>
        <w:rPr>
          <w:color w:val="9BBB59"/>
        </w:rPr>
      </w:pPr>
      <w:r w:rsidRPr="00AF199F">
        <w:rPr>
          <w:color w:val="9BBB59"/>
        </w:rPr>
        <w:t>S</w:t>
      </w:r>
      <w:r w:rsidR="000C22A9" w:rsidRPr="00AF199F">
        <w:rPr>
          <w:color w:val="9BBB59"/>
        </w:rPr>
        <w:t xml:space="preserve">tep 5: </w:t>
      </w:r>
      <w:r w:rsidR="009A12D9" w:rsidRPr="00AF199F">
        <w:rPr>
          <w:color w:val="9BBB59"/>
        </w:rPr>
        <w:t xml:space="preserve">Determining the volumes that attract the TO Exit Commodity </w:t>
      </w:r>
      <w:r w:rsidR="000214BE" w:rsidRPr="00D33BBE">
        <w:rPr>
          <w:color w:val="9BBB59"/>
        </w:rPr>
        <w:t>charge</w:t>
      </w:r>
    </w:p>
    <w:p w:rsidR="009A12D9" w:rsidRDefault="009A12D9" w:rsidP="00E84004">
      <w:pPr>
        <w:tabs>
          <w:tab w:val="left" w:pos="142"/>
          <w:tab w:val="left" w:pos="1620"/>
        </w:tabs>
        <w:ind w:left="-567" w:right="-312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A12D9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The volumes that attract the TO Exit Commodity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 xml:space="preserve"> are those forecast non-storage exit</w:t>
      </w:r>
      <w:r w:rsidRPr="00D52A5C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D52A5C">
        <w:rPr>
          <w:sz w:val="22"/>
          <w:szCs w:val="22"/>
        </w:rPr>
        <w:t xml:space="preserve">lows </w:t>
      </w:r>
      <w:r>
        <w:rPr>
          <w:sz w:val="22"/>
          <w:szCs w:val="22"/>
        </w:rPr>
        <w:t xml:space="preserve">net </w:t>
      </w:r>
      <w:r w:rsidRPr="00D52A5C">
        <w:rPr>
          <w:sz w:val="22"/>
          <w:szCs w:val="22"/>
        </w:rPr>
        <w:t>of shorthaul volumes</w:t>
      </w:r>
      <w:r>
        <w:rPr>
          <w:sz w:val="22"/>
          <w:szCs w:val="22"/>
        </w:rPr>
        <w:t xml:space="preserve"> i.e. the volumes that shippers have nominated to attract the Shorthaul Commodity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>.</w:t>
      </w:r>
    </w:p>
    <w:p w:rsidR="009A12D9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A12D9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A12D9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The f</w:t>
      </w:r>
      <w:r w:rsidRPr="008574BC">
        <w:rPr>
          <w:sz w:val="22"/>
          <w:szCs w:val="22"/>
        </w:rPr>
        <w:t>low data is updated as part of the demand forecasts published in mid-May</w:t>
      </w:r>
      <w:r>
        <w:rPr>
          <w:sz w:val="22"/>
          <w:szCs w:val="22"/>
        </w:rPr>
        <w:t xml:space="preserve">. </w:t>
      </w:r>
      <w:r w:rsidRPr="008574BC">
        <w:rPr>
          <w:sz w:val="22"/>
          <w:szCs w:val="22"/>
        </w:rPr>
        <w:t xml:space="preserve"> Shippers will </w:t>
      </w:r>
      <w:r>
        <w:rPr>
          <w:sz w:val="22"/>
          <w:szCs w:val="22"/>
        </w:rPr>
        <w:t xml:space="preserve">therefore </w:t>
      </w:r>
      <w:r w:rsidRPr="008574BC">
        <w:rPr>
          <w:sz w:val="22"/>
          <w:szCs w:val="22"/>
        </w:rPr>
        <w:t>observe different flow assumptions for indicative and final notices of the October price change</w:t>
      </w:r>
      <w:r>
        <w:rPr>
          <w:sz w:val="22"/>
          <w:szCs w:val="22"/>
        </w:rPr>
        <w:t xml:space="preserve"> to those made for the April prices</w:t>
      </w:r>
      <w:r w:rsidRPr="008574BC">
        <w:rPr>
          <w:sz w:val="22"/>
          <w:szCs w:val="22"/>
        </w:rPr>
        <w:t>.</w:t>
      </w:r>
    </w:p>
    <w:p w:rsidR="0094775B" w:rsidRDefault="0094775B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A12D9" w:rsidRPr="00AF199F" w:rsidRDefault="00B858FE" w:rsidP="00AF199F">
      <w:pPr>
        <w:pStyle w:val="Heading3"/>
        <w:pBdr>
          <w:top w:val="single" w:sz="4" w:space="3" w:color="9BBB59"/>
          <w:bottom w:val="single" w:sz="4" w:space="10" w:color="9BBB59"/>
        </w:pBdr>
        <w:tabs>
          <w:tab w:val="left" w:pos="142"/>
        </w:tabs>
        <w:ind w:left="-567" w:right="-312"/>
        <w:rPr>
          <w:color w:val="9BBB59"/>
        </w:rPr>
      </w:pPr>
      <w:r w:rsidRPr="00AF199F">
        <w:rPr>
          <w:color w:val="9BBB59"/>
        </w:rPr>
        <w:t xml:space="preserve">Step 6:  </w:t>
      </w:r>
      <w:r w:rsidR="009A12D9" w:rsidRPr="00AF199F">
        <w:rPr>
          <w:color w:val="9BBB59"/>
        </w:rPr>
        <w:t xml:space="preserve">Calculating the TO Exit Commodity </w:t>
      </w:r>
      <w:r w:rsidR="000214BE" w:rsidRPr="00D33BBE">
        <w:rPr>
          <w:color w:val="9BBB59"/>
        </w:rPr>
        <w:t>charge</w:t>
      </w:r>
      <w:r w:rsidR="009A12D9" w:rsidRPr="00AF199F">
        <w:rPr>
          <w:color w:val="9BBB59"/>
        </w:rPr>
        <w:t xml:space="preserve"> rate</w:t>
      </w:r>
    </w:p>
    <w:p w:rsidR="009A12D9" w:rsidRPr="0004300A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A12D9" w:rsidRPr="008574BC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The TO Exit Commodity</w:t>
      </w:r>
      <w:r w:rsidRPr="008574BC">
        <w:rPr>
          <w:sz w:val="22"/>
          <w:szCs w:val="22"/>
        </w:rPr>
        <w:t xml:space="preserve"> </w:t>
      </w:r>
      <w:r w:rsidR="000214BE">
        <w:rPr>
          <w:sz w:val="22"/>
          <w:szCs w:val="22"/>
        </w:rPr>
        <w:t>charge</w:t>
      </w:r>
      <w:r w:rsidRPr="008574BC">
        <w:rPr>
          <w:sz w:val="22"/>
          <w:szCs w:val="22"/>
        </w:rPr>
        <w:t xml:space="preserve"> is collected from </w:t>
      </w:r>
      <w:r>
        <w:rPr>
          <w:sz w:val="22"/>
          <w:szCs w:val="22"/>
        </w:rPr>
        <w:t>non-storage e</w:t>
      </w:r>
      <w:r w:rsidRPr="008574BC">
        <w:rPr>
          <w:sz w:val="22"/>
          <w:szCs w:val="22"/>
        </w:rPr>
        <w:t>ntry flows</w:t>
      </w:r>
      <w:r>
        <w:rPr>
          <w:sz w:val="22"/>
          <w:szCs w:val="22"/>
        </w:rPr>
        <w:t xml:space="preserve"> excluding shorthaul flows</w:t>
      </w:r>
      <w:r w:rsidRPr="008574BC">
        <w:rPr>
          <w:sz w:val="22"/>
          <w:szCs w:val="22"/>
        </w:rPr>
        <w:t xml:space="preserve">, therefore to calculate the </w:t>
      </w:r>
      <w:r w:rsidR="005833EB">
        <w:rPr>
          <w:sz w:val="22"/>
          <w:szCs w:val="22"/>
        </w:rPr>
        <w:t>charge</w:t>
      </w:r>
      <w:r w:rsidRPr="008574BC">
        <w:rPr>
          <w:sz w:val="22"/>
          <w:szCs w:val="22"/>
        </w:rPr>
        <w:t xml:space="preserve"> </w:t>
      </w:r>
      <w:r>
        <w:rPr>
          <w:sz w:val="22"/>
          <w:szCs w:val="22"/>
        </w:rPr>
        <w:t>rate to apply from</w:t>
      </w:r>
      <w:r w:rsidRPr="008574BC">
        <w:rPr>
          <w:sz w:val="22"/>
          <w:szCs w:val="22"/>
        </w:rPr>
        <w:t xml:space="preserve"> April the following formula</w:t>
      </w:r>
      <w:r>
        <w:rPr>
          <w:sz w:val="22"/>
          <w:szCs w:val="22"/>
        </w:rPr>
        <w:t xml:space="preserve"> was used</w:t>
      </w:r>
      <w:r w:rsidRPr="008574BC">
        <w:rPr>
          <w:sz w:val="22"/>
          <w:szCs w:val="22"/>
        </w:rPr>
        <w:t>.</w:t>
      </w:r>
    </w:p>
    <w:p w:rsidR="009A12D9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A12D9" w:rsidRDefault="00E84206" w:rsidP="009008CC">
      <w:pPr>
        <w:tabs>
          <w:tab w:val="left" w:pos="142"/>
        </w:tabs>
        <w:ind w:left="-567" w:right="-312"/>
        <w:jc w:val="center"/>
        <w:rPr>
          <w:sz w:val="22"/>
          <w:szCs w:val="22"/>
        </w:rPr>
      </w:pPr>
      <w:r w:rsidRPr="00F278FC">
        <w:rPr>
          <w:position w:val="-28"/>
          <w:sz w:val="22"/>
          <w:szCs w:val="22"/>
        </w:rPr>
        <w:object w:dxaOrig="6039" w:dyaOrig="660">
          <v:shape id="_x0000_i1030" type="#_x0000_t75" style="width:302.25pt;height:33pt" o:ole="">
            <v:imagedata r:id="rId22" o:title=""/>
          </v:shape>
          <o:OLEObject Type="Embed" ProgID="Equation.3" ShapeID="_x0000_i1030" DrawAspect="Content" ObjectID="_1626170531" r:id="rId23"/>
        </w:object>
      </w:r>
    </w:p>
    <w:p w:rsidR="009A12D9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A12D9" w:rsidRPr="00AF199F" w:rsidRDefault="009A12D9" w:rsidP="009008CC">
      <w:pPr>
        <w:pStyle w:val="Heading4"/>
        <w:tabs>
          <w:tab w:val="left" w:pos="142"/>
        </w:tabs>
        <w:ind w:left="-567" w:right="-312" w:firstLine="0"/>
        <w:rPr>
          <w:color w:val="9BBB59"/>
        </w:rPr>
      </w:pPr>
      <w:r w:rsidRPr="00AF199F">
        <w:rPr>
          <w:color w:val="9BBB59"/>
        </w:rPr>
        <w:t xml:space="preserve">Mid-year updates to the TO Exit Commodity </w:t>
      </w:r>
      <w:r w:rsidR="000214BE" w:rsidRPr="00D33BBE">
        <w:rPr>
          <w:color w:val="9BBB59"/>
        </w:rPr>
        <w:t>charge</w:t>
      </w:r>
    </w:p>
    <w:p w:rsidR="009A12D9" w:rsidRPr="0039624C" w:rsidRDefault="009A12D9" w:rsidP="00E84004">
      <w:pPr>
        <w:tabs>
          <w:tab w:val="left" w:pos="142"/>
        </w:tabs>
        <w:ind w:left="-567" w:right="-312"/>
        <w:rPr>
          <w:b/>
          <w:sz w:val="22"/>
          <w:szCs w:val="22"/>
        </w:rPr>
      </w:pPr>
    </w:p>
    <w:p w:rsidR="009A12D9" w:rsidRPr="0039624C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39624C">
        <w:rPr>
          <w:sz w:val="22"/>
          <w:szCs w:val="22"/>
        </w:rPr>
        <w:t xml:space="preserve">The commercial framework allows </w:t>
      </w:r>
      <w:proofErr w:type="spellStart"/>
      <w:r w:rsidRPr="0039624C"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TO Exit Commodity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 xml:space="preserve"> </w:t>
      </w:r>
      <w:r w:rsidRPr="0039624C">
        <w:rPr>
          <w:sz w:val="22"/>
          <w:szCs w:val="22"/>
        </w:rPr>
        <w:t>to be revised in October.  Further updates are permitted in exceptional circumstances.</w:t>
      </w:r>
    </w:p>
    <w:p w:rsidR="009A12D9" w:rsidRPr="0039624C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A12D9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39624C">
        <w:rPr>
          <w:sz w:val="22"/>
          <w:szCs w:val="22"/>
        </w:rPr>
        <w:t>When making a mid-year price update, the</w:t>
      </w:r>
      <w:r>
        <w:rPr>
          <w:sz w:val="22"/>
          <w:szCs w:val="22"/>
        </w:rPr>
        <w:t xml:space="preserve"> actual</w:t>
      </w:r>
      <w:r w:rsidRPr="0039624C">
        <w:rPr>
          <w:sz w:val="22"/>
          <w:szCs w:val="22"/>
        </w:rPr>
        <w:t xml:space="preserve"> revenue collected during the year to date is deducted from the revised annual revenue</w:t>
      </w:r>
      <w:r>
        <w:rPr>
          <w:sz w:val="22"/>
          <w:szCs w:val="22"/>
        </w:rPr>
        <w:t>, and the remaining flows for the year considered.</w:t>
      </w:r>
    </w:p>
    <w:p w:rsidR="009A12D9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A12D9" w:rsidRPr="0039624C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39624C">
        <w:rPr>
          <w:sz w:val="22"/>
          <w:szCs w:val="22"/>
        </w:rPr>
        <w:t xml:space="preserve">For example, </w:t>
      </w:r>
      <w:r>
        <w:rPr>
          <w:sz w:val="22"/>
          <w:szCs w:val="22"/>
        </w:rPr>
        <w:t xml:space="preserve">to update prices in </w:t>
      </w:r>
      <w:r w:rsidRPr="0039624C">
        <w:rPr>
          <w:sz w:val="22"/>
          <w:szCs w:val="22"/>
        </w:rPr>
        <w:t xml:space="preserve">October the following formula is </w:t>
      </w:r>
      <w:r>
        <w:rPr>
          <w:sz w:val="22"/>
          <w:szCs w:val="22"/>
        </w:rPr>
        <w:t>applied</w:t>
      </w:r>
      <w:r w:rsidRPr="0039624C">
        <w:rPr>
          <w:sz w:val="22"/>
          <w:szCs w:val="22"/>
        </w:rPr>
        <w:t>:</w:t>
      </w:r>
    </w:p>
    <w:p w:rsidR="009A12D9" w:rsidRPr="0039624C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A12D9" w:rsidRDefault="009A12D9" w:rsidP="009008CC">
      <w:pPr>
        <w:tabs>
          <w:tab w:val="left" w:pos="142"/>
        </w:tabs>
        <w:ind w:left="-567" w:right="-312"/>
        <w:jc w:val="center"/>
        <w:rPr>
          <w:sz w:val="24"/>
          <w:szCs w:val="24"/>
        </w:rPr>
      </w:pPr>
      <w:r w:rsidRPr="00F278FC">
        <w:rPr>
          <w:position w:val="-28"/>
          <w:sz w:val="24"/>
          <w:szCs w:val="24"/>
        </w:rPr>
        <w:object w:dxaOrig="7000" w:dyaOrig="1060">
          <v:shape id="_x0000_i1031" type="#_x0000_t75" style="width:350.25pt;height:53.25pt" o:ole="">
            <v:imagedata r:id="rId24" o:title=""/>
          </v:shape>
          <o:OLEObject Type="Embed" ProgID="Equation.3" ShapeID="_x0000_i1031" DrawAspect="Content" ObjectID="_1626170532" r:id="rId25"/>
        </w:object>
      </w:r>
    </w:p>
    <w:p w:rsidR="009A12D9" w:rsidRDefault="009A12D9" w:rsidP="00E84004">
      <w:pPr>
        <w:tabs>
          <w:tab w:val="left" w:pos="142"/>
        </w:tabs>
        <w:ind w:left="-567" w:right="-312"/>
        <w:rPr>
          <w:b/>
          <w:sz w:val="22"/>
          <w:szCs w:val="22"/>
        </w:rPr>
      </w:pPr>
    </w:p>
    <w:p w:rsidR="009A12D9" w:rsidRPr="00AF199F" w:rsidRDefault="009A12D9" w:rsidP="00E84004">
      <w:pPr>
        <w:tabs>
          <w:tab w:val="left" w:pos="142"/>
        </w:tabs>
        <w:ind w:left="-567" w:right="-312"/>
        <w:rPr>
          <w:b/>
          <w:color w:val="9BBB59"/>
          <w:sz w:val="22"/>
          <w:szCs w:val="22"/>
        </w:rPr>
      </w:pPr>
    </w:p>
    <w:p w:rsidR="009A12D9" w:rsidRPr="00AF199F" w:rsidRDefault="009A12D9" w:rsidP="009008CC">
      <w:pPr>
        <w:pStyle w:val="Heading4"/>
        <w:tabs>
          <w:tab w:val="left" w:pos="142"/>
        </w:tabs>
        <w:ind w:left="-567" w:right="-312" w:firstLine="0"/>
        <w:rPr>
          <w:color w:val="9BBB59"/>
        </w:rPr>
      </w:pPr>
      <w:r w:rsidRPr="00AF199F">
        <w:rPr>
          <w:color w:val="9BBB59"/>
        </w:rPr>
        <w:t xml:space="preserve">Forecast revenue recovery through TO Exit Commodity </w:t>
      </w:r>
      <w:r w:rsidR="000214BE" w:rsidRPr="00D33BBE">
        <w:rPr>
          <w:color w:val="9BBB59"/>
        </w:rPr>
        <w:t>charge</w:t>
      </w:r>
    </w:p>
    <w:p w:rsidR="009A12D9" w:rsidRPr="008574BC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A12D9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  <w:r w:rsidRPr="00AF199F">
        <w:rPr>
          <w:b/>
          <w:color w:val="9BBB59"/>
          <w:sz w:val="22"/>
          <w:szCs w:val="22"/>
        </w:rPr>
        <w:t>Table 2</w:t>
      </w:r>
      <w:r w:rsidR="001A2942">
        <w:rPr>
          <w:b/>
          <w:color w:val="9BBB59"/>
          <w:sz w:val="22"/>
          <w:szCs w:val="22"/>
        </w:rPr>
        <w:t>2</w:t>
      </w:r>
      <w:r w:rsidRPr="00AF199F">
        <w:rPr>
          <w:color w:val="9BBB59"/>
          <w:sz w:val="22"/>
          <w:szCs w:val="22"/>
        </w:rPr>
        <w:t xml:space="preserve"> shows the forecast monthly flows that will attract the TO Exit Commodity </w:t>
      </w:r>
      <w:r w:rsidR="000214BE" w:rsidRPr="00D33BBE">
        <w:rPr>
          <w:color w:val="9BBB59"/>
          <w:sz w:val="22"/>
          <w:szCs w:val="22"/>
        </w:rPr>
        <w:t>charge</w:t>
      </w:r>
      <w:r w:rsidRPr="00AF199F">
        <w:rPr>
          <w:color w:val="9BBB59"/>
          <w:sz w:val="22"/>
          <w:szCs w:val="22"/>
        </w:rPr>
        <w:t xml:space="preserve"> and the expected revenue from this </w:t>
      </w:r>
      <w:r w:rsidR="005833EB" w:rsidRPr="00D33BBE">
        <w:rPr>
          <w:color w:val="9BBB59"/>
          <w:sz w:val="22"/>
          <w:szCs w:val="22"/>
        </w:rPr>
        <w:t>charge</w:t>
      </w:r>
      <w:r w:rsidRPr="00AF199F">
        <w:rPr>
          <w:color w:val="9BBB59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8574BC">
        <w:rPr>
          <w:sz w:val="22"/>
          <w:szCs w:val="22"/>
        </w:rPr>
        <w:t xml:space="preserve">Data shown in </w:t>
      </w:r>
      <w:r w:rsidRPr="009008CC">
        <w:rPr>
          <w:color w:val="FF0000"/>
          <w:sz w:val="22"/>
          <w:szCs w:val="22"/>
        </w:rPr>
        <w:t xml:space="preserve">red </w:t>
      </w:r>
      <w:r w:rsidRPr="008574BC">
        <w:rPr>
          <w:sz w:val="22"/>
          <w:szCs w:val="22"/>
        </w:rPr>
        <w:t>is based on actuals, other data is forecast.</w:t>
      </w:r>
    </w:p>
    <w:p w:rsidR="009A12D9" w:rsidRDefault="009A12D9" w:rsidP="00E84004">
      <w:pPr>
        <w:tabs>
          <w:tab w:val="left" w:pos="142"/>
        </w:tabs>
        <w:ind w:left="-567" w:right="-312"/>
        <w:jc w:val="left"/>
        <w:rPr>
          <w:sz w:val="22"/>
          <w:szCs w:val="22"/>
        </w:rPr>
      </w:pPr>
    </w:p>
    <w:p w:rsidR="009A12D9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 xml:space="preserve">If actual revenue recovered is greater than the TO entry allowance revenue then the over recovery will be dealt with first by the application of the buy-back offset mechanism, with any residual revenue credited back to entry shippers through the TO Entry Commodity </w:t>
      </w:r>
      <w:r w:rsidR="000214BE">
        <w:rPr>
          <w:sz w:val="22"/>
          <w:szCs w:val="22"/>
        </w:rPr>
        <w:t>charge</w:t>
      </w:r>
      <w:r>
        <w:rPr>
          <w:sz w:val="22"/>
          <w:szCs w:val="22"/>
        </w:rPr>
        <w:t xml:space="preserve"> rebate mechanism.</w:t>
      </w:r>
    </w:p>
    <w:p w:rsidR="009A12D9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9A12D9" w:rsidRPr="00F235A6" w:rsidRDefault="009A12D9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Any TO Exit under or over recovery will</w:t>
      </w:r>
      <w:r w:rsidR="000C22A9">
        <w:rPr>
          <w:sz w:val="22"/>
          <w:szCs w:val="22"/>
        </w:rPr>
        <w:t xml:space="preserve"> flow through into the</w:t>
      </w:r>
      <w:r>
        <w:rPr>
          <w:sz w:val="22"/>
          <w:szCs w:val="22"/>
        </w:rPr>
        <w:t xml:space="preserve"> formula year </w:t>
      </w:r>
      <w:r w:rsidR="000C22A9">
        <w:rPr>
          <w:sz w:val="22"/>
          <w:szCs w:val="22"/>
        </w:rPr>
        <w:t>in two years</w:t>
      </w:r>
      <w:r w:rsidR="00C57F65">
        <w:rPr>
          <w:sz w:val="22"/>
          <w:szCs w:val="22"/>
        </w:rPr>
        <w:t>’</w:t>
      </w:r>
      <w:r w:rsidR="000C22A9">
        <w:rPr>
          <w:sz w:val="22"/>
          <w:szCs w:val="22"/>
        </w:rPr>
        <w:t xml:space="preserve"> time </w:t>
      </w:r>
      <w:r>
        <w:rPr>
          <w:sz w:val="22"/>
          <w:szCs w:val="22"/>
        </w:rPr>
        <w:t>(with the appropriate interest adjustments made) through the NTS TO revenue adjustment term K</w:t>
      </w:r>
      <w:r w:rsidRPr="00AE7D28">
        <w:rPr>
          <w:sz w:val="22"/>
          <w:szCs w:val="22"/>
          <w:vertAlign w:val="subscript"/>
        </w:rPr>
        <w:t>t</w:t>
      </w:r>
      <w:r>
        <w:rPr>
          <w:sz w:val="22"/>
          <w:szCs w:val="22"/>
        </w:rPr>
        <w:t xml:space="preserve"> which applies in that formula year.</w:t>
      </w:r>
      <w:r w:rsidRPr="005601BA">
        <w:rPr>
          <w:sz w:val="22"/>
          <w:szCs w:val="22"/>
          <w:vertAlign w:val="subscript"/>
        </w:rPr>
        <w:t xml:space="preserve">  </w:t>
      </w:r>
    </w:p>
    <w:p w:rsidR="009A12D9" w:rsidRDefault="009A12D9" w:rsidP="00E84004">
      <w:pPr>
        <w:tabs>
          <w:tab w:val="left" w:pos="142"/>
        </w:tabs>
        <w:ind w:left="-567" w:right="-312"/>
        <w:jc w:val="left"/>
        <w:rPr>
          <w:rFonts w:ascii="Arial Bold" w:hAnsi="Arial Bold"/>
          <w:b/>
          <w:caps/>
          <w:sz w:val="22"/>
          <w:szCs w:val="22"/>
        </w:rPr>
        <w:sectPr w:rsidR="009A12D9" w:rsidSect="00AF199F">
          <w:pgSz w:w="11906" w:h="16838"/>
          <w:pgMar w:top="1440" w:right="1728" w:bottom="1296" w:left="1701" w:header="706" w:footer="706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075B10" w:rsidRPr="00AF199F" w:rsidRDefault="00075B10" w:rsidP="00AF199F">
      <w:pPr>
        <w:pStyle w:val="Heading2"/>
        <w:pBdr>
          <w:top w:val="single" w:sz="4" w:space="5" w:color="E36C0A"/>
          <w:bottom w:val="single" w:sz="4" w:space="15" w:color="E36C0A"/>
        </w:pBdr>
        <w:tabs>
          <w:tab w:val="left" w:pos="142"/>
        </w:tabs>
        <w:ind w:left="-567" w:right="-312"/>
        <w:rPr>
          <w:i w:val="0"/>
          <w:color w:val="E36C0A"/>
        </w:rPr>
      </w:pPr>
      <w:r w:rsidRPr="00AF199F">
        <w:rPr>
          <w:i w:val="0"/>
          <w:color w:val="E36C0A"/>
        </w:rPr>
        <w:lastRenderedPageBreak/>
        <w:t xml:space="preserve">Part </w:t>
      </w:r>
      <w:r w:rsidR="00494F03" w:rsidRPr="00AF199F">
        <w:rPr>
          <w:i w:val="0"/>
          <w:color w:val="E36C0A"/>
        </w:rPr>
        <w:t>D</w:t>
      </w:r>
      <w:r w:rsidRPr="00AF199F">
        <w:rPr>
          <w:i w:val="0"/>
          <w:color w:val="E36C0A"/>
        </w:rPr>
        <w:t xml:space="preserve">: </w:t>
      </w:r>
      <w:r w:rsidR="00AD4922" w:rsidRPr="00AF199F">
        <w:rPr>
          <w:i w:val="0"/>
          <w:color w:val="E36C0A"/>
        </w:rPr>
        <w:t>C</w:t>
      </w:r>
      <w:r w:rsidRPr="00AF199F">
        <w:rPr>
          <w:i w:val="0"/>
          <w:color w:val="E36C0A"/>
        </w:rPr>
        <w:t xml:space="preserve">harging timetable &amp; </w:t>
      </w:r>
      <w:r w:rsidR="00BE4836" w:rsidRPr="00AF199F">
        <w:rPr>
          <w:i w:val="0"/>
          <w:color w:val="E36C0A"/>
        </w:rPr>
        <w:t>further</w:t>
      </w:r>
      <w:r w:rsidRPr="00AF199F">
        <w:rPr>
          <w:i w:val="0"/>
          <w:color w:val="E36C0A"/>
        </w:rPr>
        <w:t xml:space="preserve"> information</w:t>
      </w:r>
    </w:p>
    <w:p w:rsidR="00075B10" w:rsidRDefault="00075B10" w:rsidP="00E84004">
      <w:pPr>
        <w:tabs>
          <w:tab w:val="left" w:pos="142"/>
        </w:tabs>
        <w:ind w:left="-567" w:right="-312"/>
        <w:rPr>
          <w:rFonts w:ascii="Arial Bold" w:hAnsi="Arial Bold"/>
          <w:b/>
          <w:caps/>
          <w:sz w:val="22"/>
          <w:szCs w:val="22"/>
        </w:rPr>
      </w:pPr>
    </w:p>
    <w:p w:rsidR="003D42C8" w:rsidRPr="00AF199F" w:rsidRDefault="003D42C8" w:rsidP="009008CC">
      <w:pPr>
        <w:pStyle w:val="Heading3"/>
        <w:tabs>
          <w:tab w:val="left" w:pos="142"/>
        </w:tabs>
        <w:ind w:left="-567" w:right="-312"/>
        <w:rPr>
          <w:color w:val="E36C0A"/>
        </w:rPr>
      </w:pPr>
      <w:r w:rsidRPr="00AF199F">
        <w:rPr>
          <w:color w:val="E36C0A"/>
        </w:rPr>
        <w:t>Charging timetable</w:t>
      </w:r>
    </w:p>
    <w:p w:rsidR="003D42C8" w:rsidRPr="003D42C8" w:rsidRDefault="003D42C8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B62A01" w:rsidRPr="003D42C8" w:rsidRDefault="006E6D22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C</w:t>
      </w:r>
      <w:r w:rsidR="000214BE">
        <w:rPr>
          <w:sz w:val="22"/>
          <w:szCs w:val="22"/>
        </w:rPr>
        <w:t>harge</w:t>
      </w:r>
      <w:r w:rsidR="00B62A01" w:rsidRPr="003D42C8">
        <w:rPr>
          <w:sz w:val="22"/>
          <w:szCs w:val="22"/>
        </w:rPr>
        <w:t xml:space="preserve"> changes are published </w:t>
      </w:r>
      <w:r w:rsidR="009B4A6B">
        <w:rPr>
          <w:sz w:val="22"/>
          <w:szCs w:val="22"/>
        </w:rPr>
        <w:t>by</w:t>
      </w:r>
      <w:r w:rsidR="009B4A6B" w:rsidRPr="003D42C8">
        <w:rPr>
          <w:sz w:val="22"/>
          <w:szCs w:val="22"/>
        </w:rPr>
        <w:t xml:space="preserve"> </w:t>
      </w:r>
      <w:r w:rsidR="00B62A01" w:rsidRPr="003D42C8">
        <w:rPr>
          <w:sz w:val="22"/>
          <w:szCs w:val="22"/>
        </w:rPr>
        <w:t>the following dates</w:t>
      </w:r>
      <w:r w:rsidR="00A63672" w:rsidRPr="003D42C8">
        <w:rPr>
          <w:sz w:val="22"/>
          <w:szCs w:val="22"/>
        </w:rPr>
        <w:t xml:space="preserve"> throughout the year</w:t>
      </w:r>
      <w:r w:rsidR="00B62A01" w:rsidRPr="003D42C8">
        <w:rPr>
          <w:sz w:val="22"/>
          <w:szCs w:val="22"/>
        </w:rPr>
        <w:t>:</w:t>
      </w:r>
    </w:p>
    <w:p w:rsidR="00B62A01" w:rsidRPr="003D42C8" w:rsidRDefault="00B62A01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55"/>
        <w:gridCol w:w="6732"/>
      </w:tblGrid>
      <w:tr w:rsidR="00F730F5" w:rsidRPr="00653051" w:rsidTr="00AF199F">
        <w:tc>
          <w:tcPr>
            <w:tcW w:w="2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730F5" w:rsidRPr="00653051" w:rsidRDefault="005C16FF" w:rsidP="009008CC">
            <w:pPr>
              <w:tabs>
                <w:tab w:val="left" w:pos="142"/>
              </w:tabs>
              <w:spacing w:before="60" w:after="60"/>
              <w:ind w:left="-567" w:right="-312"/>
              <w:jc w:val="center"/>
              <w:rPr>
                <w:b/>
                <w:sz w:val="22"/>
                <w:szCs w:val="22"/>
              </w:rPr>
            </w:pPr>
            <w:r w:rsidRPr="00653051">
              <w:rPr>
                <w:b/>
                <w:sz w:val="22"/>
                <w:szCs w:val="22"/>
              </w:rPr>
              <w:t>Date</w:t>
            </w:r>
            <w:r w:rsidR="00EE3418" w:rsidRPr="00653051">
              <w:rPr>
                <w:b/>
                <w:sz w:val="22"/>
                <w:szCs w:val="22"/>
              </w:rPr>
              <w:t xml:space="preserve"> (by)</w:t>
            </w:r>
          </w:p>
        </w:tc>
        <w:tc>
          <w:tcPr>
            <w:tcW w:w="6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730F5" w:rsidRPr="00653051" w:rsidRDefault="005C16FF" w:rsidP="009008CC">
            <w:pPr>
              <w:tabs>
                <w:tab w:val="left" w:pos="142"/>
              </w:tabs>
              <w:spacing w:before="60" w:after="60"/>
              <w:ind w:left="-567" w:right="-312"/>
              <w:jc w:val="center"/>
              <w:rPr>
                <w:b/>
                <w:sz w:val="22"/>
                <w:szCs w:val="22"/>
              </w:rPr>
            </w:pPr>
            <w:r w:rsidRPr="00653051">
              <w:rPr>
                <w:b/>
                <w:sz w:val="22"/>
                <w:szCs w:val="22"/>
              </w:rPr>
              <w:t>Notification of…</w:t>
            </w:r>
          </w:p>
        </w:tc>
      </w:tr>
      <w:tr w:rsidR="00F730F5" w:rsidRPr="00653051" w:rsidTr="009008CC"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:rsidR="00F730F5" w:rsidRPr="00653051" w:rsidRDefault="005D6F8D" w:rsidP="009008CC">
            <w:pPr>
              <w:tabs>
                <w:tab w:val="left" w:pos="142"/>
              </w:tabs>
              <w:spacing w:before="60" w:after="60"/>
              <w:ind w:left="-567" w:right="-3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16FF" w:rsidRPr="00653051">
              <w:rPr>
                <w:sz w:val="22"/>
                <w:szCs w:val="22"/>
              </w:rPr>
              <w:t xml:space="preserve"> November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30F5" w:rsidRPr="009008CC" w:rsidRDefault="005C16FF" w:rsidP="009008CC">
            <w:pPr>
              <w:tabs>
                <w:tab w:val="left" w:pos="142"/>
              </w:tabs>
              <w:spacing w:before="60" w:after="60"/>
              <w:ind w:left="-567" w:right="-312"/>
              <w:jc w:val="center"/>
            </w:pPr>
            <w:r w:rsidRPr="009008CC">
              <w:t xml:space="preserve">Indicative </w:t>
            </w:r>
            <w:r w:rsidR="005833EB">
              <w:t>charge</w:t>
            </w:r>
            <w:r w:rsidRPr="009008CC">
              <w:t>s to apply from following 1 April</w:t>
            </w:r>
          </w:p>
        </w:tc>
      </w:tr>
      <w:tr w:rsidR="00F730F5" w:rsidRPr="00653051" w:rsidTr="009008CC">
        <w:tc>
          <w:tcPr>
            <w:tcW w:w="2411" w:type="dxa"/>
            <w:shd w:val="clear" w:color="auto" w:fill="auto"/>
          </w:tcPr>
          <w:p w:rsidR="00F730F5" w:rsidRPr="00653051" w:rsidRDefault="005C16FF" w:rsidP="009008CC">
            <w:pPr>
              <w:tabs>
                <w:tab w:val="left" w:pos="142"/>
              </w:tabs>
              <w:spacing w:before="60" w:after="60"/>
              <w:ind w:left="-567" w:right="-312"/>
              <w:jc w:val="center"/>
              <w:rPr>
                <w:sz w:val="22"/>
                <w:szCs w:val="22"/>
              </w:rPr>
            </w:pPr>
            <w:r w:rsidRPr="00653051">
              <w:rPr>
                <w:sz w:val="22"/>
                <w:szCs w:val="22"/>
              </w:rPr>
              <w:t>31 January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F730F5" w:rsidRPr="009008CC" w:rsidRDefault="005C16FF" w:rsidP="009008CC">
            <w:pPr>
              <w:tabs>
                <w:tab w:val="left" w:pos="142"/>
              </w:tabs>
              <w:spacing w:before="60" w:after="60"/>
              <w:ind w:left="-567" w:right="-312"/>
              <w:jc w:val="center"/>
            </w:pPr>
            <w:r w:rsidRPr="009008CC">
              <w:t xml:space="preserve">Final </w:t>
            </w:r>
            <w:r w:rsidR="005833EB">
              <w:t>charge</w:t>
            </w:r>
            <w:r w:rsidRPr="009008CC">
              <w:t>s to apply from following 1 April</w:t>
            </w:r>
          </w:p>
        </w:tc>
      </w:tr>
      <w:tr w:rsidR="005C16FF" w:rsidRPr="00653051" w:rsidTr="009008CC">
        <w:tc>
          <w:tcPr>
            <w:tcW w:w="2411" w:type="dxa"/>
            <w:shd w:val="clear" w:color="auto" w:fill="auto"/>
          </w:tcPr>
          <w:p w:rsidR="005C16FF" w:rsidRPr="00653051" w:rsidRDefault="000B1802" w:rsidP="009008CC">
            <w:pPr>
              <w:tabs>
                <w:tab w:val="left" w:pos="142"/>
              </w:tabs>
              <w:spacing w:before="60" w:after="60"/>
              <w:ind w:left="-567" w:right="-312"/>
              <w:jc w:val="center"/>
              <w:rPr>
                <w:sz w:val="22"/>
                <w:szCs w:val="22"/>
              </w:rPr>
            </w:pPr>
            <w:r w:rsidRPr="00653051">
              <w:rPr>
                <w:sz w:val="22"/>
                <w:szCs w:val="22"/>
              </w:rPr>
              <w:t>1</w:t>
            </w:r>
            <w:r w:rsidR="005C16FF" w:rsidRPr="00653051">
              <w:rPr>
                <w:sz w:val="22"/>
                <w:szCs w:val="22"/>
              </w:rPr>
              <w:t xml:space="preserve"> May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C16FF" w:rsidRPr="009008CC" w:rsidRDefault="005C16FF" w:rsidP="009008CC">
            <w:pPr>
              <w:tabs>
                <w:tab w:val="left" w:pos="142"/>
              </w:tabs>
              <w:spacing w:before="60" w:after="60"/>
              <w:ind w:left="-567" w:right="-312"/>
              <w:jc w:val="center"/>
            </w:pPr>
            <w:r w:rsidRPr="009008CC">
              <w:t xml:space="preserve">Indicative </w:t>
            </w:r>
            <w:r w:rsidR="00B4069E" w:rsidRPr="009008CC">
              <w:t xml:space="preserve">and final Exit Capacity </w:t>
            </w:r>
            <w:r w:rsidR="005833EB">
              <w:t>charge</w:t>
            </w:r>
            <w:r w:rsidRPr="009008CC">
              <w:t>s to apply from following 1 October</w:t>
            </w:r>
            <w:r w:rsidR="00B4069E" w:rsidRPr="009008CC">
              <w:t xml:space="preserve"> </w:t>
            </w:r>
          </w:p>
        </w:tc>
      </w:tr>
      <w:tr w:rsidR="005C16FF" w:rsidRPr="00653051" w:rsidTr="009008CC">
        <w:tc>
          <w:tcPr>
            <w:tcW w:w="2411" w:type="dxa"/>
            <w:shd w:val="clear" w:color="auto" w:fill="auto"/>
          </w:tcPr>
          <w:p w:rsidR="007B34C6" w:rsidRPr="00653051" w:rsidRDefault="005C16FF" w:rsidP="009008CC">
            <w:pPr>
              <w:tabs>
                <w:tab w:val="left" w:pos="142"/>
              </w:tabs>
              <w:spacing w:before="60" w:after="60"/>
              <w:ind w:left="-567" w:right="-312"/>
              <w:jc w:val="center"/>
              <w:rPr>
                <w:sz w:val="22"/>
                <w:szCs w:val="22"/>
              </w:rPr>
            </w:pPr>
            <w:r w:rsidRPr="00653051">
              <w:rPr>
                <w:sz w:val="22"/>
                <w:szCs w:val="22"/>
              </w:rPr>
              <w:t>31 July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7B34C6" w:rsidRPr="009008CC" w:rsidRDefault="005C16FF" w:rsidP="009008CC">
            <w:pPr>
              <w:tabs>
                <w:tab w:val="left" w:pos="142"/>
              </w:tabs>
              <w:spacing w:before="60" w:after="60"/>
              <w:ind w:left="-567" w:right="-312"/>
              <w:jc w:val="center"/>
            </w:pPr>
            <w:r w:rsidRPr="009008CC">
              <w:t xml:space="preserve">Final </w:t>
            </w:r>
            <w:r w:rsidR="005833EB">
              <w:t>charge</w:t>
            </w:r>
            <w:r w:rsidRPr="009008CC">
              <w:t>s to apply from following 1 October</w:t>
            </w:r>
          </w:p>
        </w:tc>
      </w:tr>
    </w:tbl>
    <w:p w:rsidR="00F730F5" w:rsidRDefault="00F730F5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5C16FF" w:rsidRDefault="005C16FF" w:rsidP="00E84004">
      <w:pPr>
        <w:tabs>
          <w:tab w:val="left" w:pos="142"/>
        </w:tabs>
        <w:ind w:left="-567" w:right="-312"/>
        <w:rPr>
          <w:sz w:val="22"/>
          <w:szCs w:val="22"/>
        </w:rPr>
      </w:pPr>
      <w:r>
        <w:rPr>
          <w:sz w:val="22"/>
          <w:szCs w:val="22"/>
        </w:rPr>
        <w:t>Notices of the updates will be posted on National Grid’s industry website and on the Joint Office’s website.</w:t>
      </w:r>
      <w:r w:rsidR="00EE3418">
        <w:rPr>
          <w:sz w:val="22"/>
          <w:szCs w:val="22"/>
        </w:rPr>
        <w:t xml:space="preserve">  The updates will also be notified via the Joint Office’s email notification service.</w:t>
      </w:r>
    </w:p>
    <w:p w:rsidR="00A63672" w:rsidRDefault="00A63672" w:rsidP="00E84004">
      <w:pPr>
        <w:tabs>
          <w:tab w:val="left" w:pos="142"/>
        </w:tabs>
        <w:ind w:left="-567" w:right="-312"/>
        <w:rPr>
          <w:sz w:val="24"/>
          <w:szCs w:val="24"/>
        </w:rPr>
      </w:pPr>
    </w:p>
    <w:p w:rsidR="003D42C8" w:rsidRPr="00AF199F" w:rsidRDefault="003D42C8" w:rsidP="009008CC">
      <w:pPr>
        <w:pStyle w:val="Heading3"/>
        <w:tabs>
          <w:tab w:val="left" w:pos="142"/>
        </w:tabs>
        <w:ind w:left="-567" w:right="-312"/>
        <w:rPr>
          <w:color w:val="E36C0A"/>
        </w:rPr>
      </w:pPr>
      <w:r w:rsidRPr="00AF199F">
        <w:rPr>
          <w:color w:val="E36C0A"/>
        </w:rPr>
        <w:t>Further information</w:t>
      </w:r>
    </w:p>
    <w:p w:rsidR="00F730F5" w:rsidRDefault="00F730F5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p w:rsidR="000B1802" w:rsidRPr="00AA54A3" w:rsidRDefault="00693FA6" w:rsidP="0088715F">
      <w:pPr>
        <w:tabs>
          <w:tab w:val="left" w:pos="142"/>
        </w:tabs>
        <w:spacing w:line="280" w:lineRule="exact"/>
        <w:ind w:left="-567" w:right="-31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If you require further details about any of the information contained within this document or have any comments on how this document might be improved please </w:t>
      </w:r>
      <w:r w:rsidRPr="00944163">
        <w:rPr>
          <w:sz w:val="22"/>
          <w:szCs w:val="22"/>
        </w:rPr>
        <w:t xml:space="preserve">contact </w:t>
      </w:r>
      <w:r w:rsidR="000B1802" w:rsidRPr="00AA54A3">
        <w:rPr>
          <w:sz w:val="22"/>
          <w:szCs w:val="22"/>
        </w:rPr>
        <w:t>Karin Elmhirst (01926 655540) or</w:t>
      </w:r>
      <w:r w:rsidR="006E6D22">
        <w:rPr>
          <w:sz w:val="22"/>
          <w:szCs w:val="22"/>
        </w:rPr>
        <w:t xml:space="preserve"> Dave Bayliss (01926 656853) or </w:t>
      </w:r>
      <w:r w:rsidR="000B1802" w:rsidRPr="00AA54A3">
        <w:rPr>
          <w:sz w:val="22"/>
          <w:szCs w:val="22"/>
        </w:rPr>
        <w:t xml:space="preserve">email the charging team at </w:t>
      </w:r>
      <w:hyperlink r:id="rId26" w:history="1">
        <w:r w:rsidR="000B1802" w:rsidRPr="00AF199F">
          <w:rPr>
            <w:color w:val="E36C0A"/>
            <w:sz w:val="22"/>
            <w:szCs w:val="22"/>
            <w:u w:val="single"/>
          </w:rPr>
          <w:t>box.transmissioncapacityandcharging@nationalgrid.com</w:t>
        </w:r>
      </w:hyperlink>
      <w:r w:rsidR="000B1802" w:rsidRPr="00AF199F">
        <w:rPr>
          <w:color w:val="E36C0A"/>
          <w:sz w:val="22"/>
          <w:szCs w:val="22"/>
        </w:rPr>
        <w:t>.</w:t>
      </w:r>
    </w:p>
    <w:p w:rsidR="00F730F5" w:rsidRPr="00F730F5" w:rsidRDefault="00F730F5" w:rsidP="00E84004">
      <w:pPr>
        <w:tabs>
          <w:tab w:val="left" w:pos="142"/>
        </w:tabs>
        <w:ind w:left="-567" w:right="-312"/>
        <w:rPr>
          <w:sz w:val="22"/>
          <w:szCs w:val="22"/>
        </w:rPr>
      </w:pPr>
    </w:p>
    <w:sectPr w:rsidR="00F730F5" w:rsidRPr="00F730F5" w:rsidSect="00AF199F">
      <w:pgSz w:w="11906" w:h="16838"/>
      <w:pgMar w:top="1440" w:right="1728" w:bottom="1296" w:left="1701" w:header="706" w:footer="706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B5" w:rsidRDefault="007E1FB5">
      <w:r>
        <w:separator/>
      </w:r>
    </w:p>
  </w:endnote>
  <w:endnote w:type="continuationSeparator" w:id="0">
    <w:p w:rsidR="007E1FB5" w:rsidRDefault="007E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31" w:rsidRDefault="00FD3A31" w:rsidP="008565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A31" w:rsidRDefault="00FD3A31" w:rsidP="00F278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31" w:rsidRDefault="00FD3A31" w:rsidP="008565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0D2">
      <w:rPr>
        <w:rStyle w:val="PageNumber"/>
        <w:noProof/>
      </w:rPr>
      <w:t>12</w:t>
    </w:r>
    <w:r>
      <w:rPr>
        <w:rStyle w:val="PageNumber"/>
      </w:rPr>
      <w:fldChar w:fldCharType="end"/>
    </w:r>
  </w:p>
  <w:p w:rsidR="00FD3A31" w:rsidRDefault="00FD3A31" w:rsidP="00F278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B5" w:rsidRDefault="007E1FB5">
      <w:r>
        <w:separator/>
      </w:r>
    </w:p>
  </w:footnote>
  <w:footnote w:type="continuationSeparator" w:id="0">
    <w:p w:rsidR="007E1FB5" w:rsidRDefault="007E1FB5">
      <w:r>
        <w:continuationSeparator/>
      </w:r>
    </w:p>
  </w:footnote>
  <w:footnote w:id="1">
    <w:p w:rsidR="00FD3A31" w:rsidRDefault="00FD3A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278FC">
        <w:rPr>
          <w:sz w:val="16"/>
          <w:szCs w:val="16"/>
        </w:rPr>
        <w:t xml:space="preserve">In exceptional circumstances </w:t>
      </w:r>
      <w:proofErr w:type="gramStart"/>
      <w:r w:rsidRPr="00F278FC">
        <w:rPr>
          <w:sz w:val="16"/>
          <w:szCs w:val="16"/>
        </w:rPr>
        <w:t>notices</w:t>
      </w:r>
      <w:proofErr w:type="gramEnd"/>
      <w:r w:rsidRPr="00F278FC">
        <w:rPr>
          <w:sz w:val="16"/>
          <w:szCs w:val="16"/>
        </w:rPr>
        <w:t xml:space="preserve"> may be made in a time period less than 150 days such as a third price change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108A"/>
    <w:multiLevelType w:val="hybridMultilevel"/>
    <w:tmpl w:val="488EDAD8"/>
    <w:lvl w:ilvl="0" w:tplc="DF0434CC">
      <w:start w:val="1"/>
      <w:numFmt w:val="bullet"/>
      <w:pStyle w:val="BulletBox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65A9"/>
    <w:multiLevelType w:val="hybridMultilevel"/>
    <w:tmpl w:val="A546DA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27B"/>
    <w:multiLevelType w:val="hybridMultilevel"/>
    <w:tmpl w:val="53C053EE"/>
    <w:lvl w:ilvl="0" w:tplc="DF0434CC">
      <w:start w:val="1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53F3"/>
    <w:multiLevelType w:val="hybridMultilevel"/>
    <w:tmpl w:val="AC001220"/>
    <w:lvl w:ilvl="0" w:tplc="8D766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7DF9"/>
    <w:multiLevelType w:val="hybridMultilevel"/>
    <w:tmpl w:val="12024B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A52B8"/>
    <w:multiLevelType w:val="hybridMultilevel"/>
    <w:tmpl w:val="3236CF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05EEA"/>
    <w:multiLevelType w:val="multilevel"/>
    <w:tmpl w:val="84064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2B3"/>
    <w:multiLevelType w:val="hybridMultilevel"/>
    <w:tmpl w:val="840645B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C7BDC"/>
    <w:multiLevelType w:val="hybridMultilevel"/>
    <w:tmpl w:val="0CBA95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03CC0"/>
    <w:multiLevelType w:val="hybridMultilevel"/>
    <w:tmpl w:val="C3F62C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A1868"/>
    <w:multiLevelType w:val="hybridMultilevel"/>
    <w:tmpl w:val="03A8B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C4B62"/>
    <w:multiLevelType w:val="hybridMultilevel"/>
    <w:tmpl w:val="7F369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7160E"/>
    <w:multiLevelType w:val="hybridMultilevel"/>
    <w:tmpl w:val="8F066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1B0ADC"/>
    <w:multiLevelType w:val="hybridMultilevel"/>
    <w:tmpl w:val="B5E6AAD0"/>
    <w:lvl w:ilvl="0" w:tplc="08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00D17"/>
    <w:multiLevelType w:val="multilevel"/>
    <w:tmpl w:val="97726E2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D3114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2C4A"/>
    <w:multiLevelType w:val="hybridMultilevel"/>
    <w:tmpl w:val="C2AE1C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677F"/>
    <w:multiLevelType w:val="hybridMultilevel"/>
    <w:tmpl w:val="74AEAA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973AF"/>
    <w:multiLevelType w:val="hybridMultilevel"/>
    <w:tmpl w:val="B4BAC994"/>
    <w:lvl w:ilvl="0" w:tplc="F236AFAA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30FE8"/>
    <w:multiLevelType w:val="hybridMultilevel"/>
    <w:tmpl w:val="B75AAC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F29DD"/>
    <w:multiLevelType w:val="hybridMultilevel"/>
    <w:tmpl w:val="97726E26"/>
    <w:lvl w:ilvl="0" w:tplc="DF36A1C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D3114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94A40"/>
    <w:multiLevelType w:val="hybridMultilevel"/>
    <w:tmpl w:val="6D04CB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9787A"/>
    <w:multiLevelType w:val="hybridMultilevel"/>
    <w:tmpl w:val="80A4A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17F71"/>
    <w:multiLevelType w:val="hybridMultilevel"/>
    <w:tmpl w:val="A8346F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A2955"/>
    <w:multiLevelType w:val="hybridMultilevel"/>
    <w:tmpl w:val="F86845C4"/>
    <w:lvl w:ilvl="0" w:tplc="08090001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87703"/>
    <w:multiLevelType w:val="hybridMultilevel"/>
    <w:tmpl w:val="F63290EE"/>
    <w:lvl w:ilvl="0" w:tplc="DF36A1C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D3114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16986"/>
    <w:multiLevelType w:val="hybridMultilevel"/>
    <w:tmpl w:val="2A1CFA96"/>
    <w:lvl w:ilvl="0" w:tplc="D7B84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9C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15B97"/>
    <w:multiLevelType w:val="multilevel"/>
    <w:tmpl w:val="2E4ED1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tyle3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26"/>
  </w:num>
  <w:num w:numId="3">
    <w:abstractNumId w:val="10"/>
  </w:num>
  <w:num w:numId="4">
    <w:abstractNumId w:val="2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22"/>
  </w:num>
  <w:num w:numId="10">
    <w:abstractNumId w:val="12"/>
  </w:num>
  <w:num w:numId="11">
    <w:abstractNumId w:val="1"/>
  </w:num>
  <w:num w:numId="12">
    <w:abstractNumId w:val="23"/>
  </w:num>
  <w:num w:numId="13">
    <w:abstractNumId w:val="4"/>
  </w:num>
  <w:num w:numId="14">
    <w:abstractNumId w:val="20"/>
  </w:num>
  <w:num w:numId="15">
    <w:abstractNumId w:val="18"/>
  </w:num>
  <w:num w:numId="16">
    <w:abstractNumId w:val="5"/>
  </w:num>
  <w:num w:numId="17">
    <w:abstractNumId w:val="8"/>
  </w:num>
  <w:num w:numId="18">
    <w:abstractNumId w:val="0"/>
  </w:num>
  <w:num w:numId="19">
    <w:abstractNumId w:val="0"/>
  </w:num>
  <w:num w:numId="20">
    <w:abstractNumId w:val="21"/>
  </w:num>
  <w:num w:numId="21">
    <w:abstractNumId w:val="13"/>
  </w:num>
  <w:num w:numId="22">
    <w:abstractNumId w:val="9"/>
  </w:num>
  <w:num w:numId="23">
    <w:abstractNumId w:val="16"/>
  </w:num>
  <w:num w:numId="24">
    <w:abstractNumId w:val="15"/>
  </w:num>
  <w:num w:numId="25">
    <w:abstractNumId w:val="11"/>
  </w:num>
  <w:num w:numId="26">
    <w:abstractNumId w:val="24"/>
  </w:num>
  <w:num w:numId="27">
    <w:abstractNumId w:val="19"/>
  </w:num>
  <w:num w:numId="28">
    <w:abstractNumId w:val="14"/>
  </w:num>
  <w:num w:numId="29">
    <w:abstractNumId w:val="17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67"/>
    <w:rsid w:val="00001F66"/>
    <w:rsid w:val="00001F72"/>
    <w:rsid w:val="00003B0B"/>
    <w:rsid w:val="00006B9D"/>
    <w:rsid w:val="00006F79"/>
    <w:rsid w:val="00006FBF"/>
    <w:rsid w:val="00010EA1"/>
    <w:rsid w:val="000214BE"/>
    <w:rsid w:val="0002628D"/>
    <w:rsid w:val="00031318"/>
    <w:rsid w:val="00035BB7"/>
    <w:rsid w:val="0004088F"/>
    <w:rsid w:val="00041A71"/>
    <w:rsid w:val="0004300A"/>
    <w:rsid w:val="000469A6"/>
    <w:rsid w:val="0006058D"/>
    <w:rsid w:val="00061E44"/>
    <w:rsid w:val="0007285A"/>
    <w:rsid w:val="00072DF8"/>
    <w:rsid w:val="00075B10"/>
    <w:rsid w:val="00075FC5"/>
    <w:rsid w:val="00081156"/>
    <w:rsid w:val="00082C64"/>
    <w:rsid w:val="000965E3"/>
    <w:rsid w:val="000A1E8D"/>
    <w:rsid w:val="000A2E67"/>
    <w:rsid w:val="000B0A0A"/>
    <w:rsid w:val="000B1802"/>
    <w:rsid w:val="000B352F"/>
    <w:rsid w:val="000B4EC2"/>
    <w:rsid w:val="000B77CD"/>
    <w:rsid w:val="000C22A9"/>
    <w:rsid w:val="000C5566"/>
    <w:rsid w:val="000C7553"/>
    <w:rsid w:val="000C76A3"/>
    <w:rsid w:val="000D0AA2"/>
    <w:rsid w:val="000D1F0C"/>
    <w:rsid w:val="000D2670"/>
    <w:rsid w:val="000D6BEF"/>
    <w:rsid w:val="000E4A45"/>
    <w:rsid w:val="000E780D"/>
    <w:rsid w:val="000F1325"/>
    <w:rsid w:val="000F1EE0"/>
    <w:rsid w:val="000F4581"/>
    <w:rsid w:val="00100F41"/>
    <w:rsid w:val="001012A1"/>
    <w:rsid w:val="00105031"/>
    <w:rsid w:val="00105F21"/>
    <w:rsid w:val="001069B6"/>
    <w:rsid w:val="00107BFD"/>
    <w:rsid w:val="00110994"/>
    <w:rsid w:val="0011243C"/>
    <w:rsid w:val="00113345"/>
    <w:rsid w:val="001153B7"/>
    <w:rsid w:val="00116036"/>
    <w:rsid w:val="00121547"/>
    <w:rsid w:val="001258C0"/>
    <w:rsid w:val="00125D8E"/>
    <w:rsid w:val="00126B1B"/>
    <w:rsid w:val="00131537"/>
    <w:rsid w:val="001325B0"/>
    <w:rsid w:val="001361B9"/>
    <w:rsid w:val="001363B0"/>
    <w:rsid w:val="00136BF9"/>
    <w:rsid w:val="00140D17"/>
    <w:rsid w:val="00142019"/>
    <w:rsid w:val="00143B03"/>
    <w:rsid w:val="00150C85"/>
    <w:rsid w:val="00153A21"/>
    <w:rsid w:val="00154624"/>
    <w:rsid w:val="00156967"/>
    <w:rsid w:val="00160710"/>
    <w:rsid w:val="00165D81"/>
    <w:rsid w:val="00172620"/>
    <w:rsid w:val="00172B03"/>
    <w:rsid w:val="00173F33"/>
    <w:rsid w:val="00187292"/>
    <w:rsid w:val="00190E79"/>
    <w:rsid w:val="001A2942"/>
    <w:rsid w:val="001A3390"/>
    <w:rsid w:val="001A5061"/>
    <w:rsid w:val="001A769D"/>
    <w:rsid w:val="001A7F7B"/>
    <w:rsid w:val="001B762F"/>
    <w:rsid w:val="001B7903"/>
    <w:rsid w:val="001C1B21"/>
    <w:rsid w:val="001D7EE5"/>
    <w:rsid w:val="001E0249"/>
    <w:rsid w:val="001E052E"/>
    <w:rsid w:val="001E205C"/>
    <w:rsid w:val="001E360D"/>
    <w:rsid w:val="001E4EF6"/>
    <w:rsid w:val="001E6C26"/>
    <w:rsid w:val="001F117D"/>
    <w:rsid w:val="001F1903"/>
    <w:rsid w:val="001F7D08"/>
    <w:rsid w:val="00200758"/>
    <w:rsid w:val="0020538E"/>
    <w:rsid w:val="0020769A"/>
    <w:rsid w:val="002100A9"/>
    <w:rsid w:val="00211900"/>
    <w:rsid w:val="00211B21"/>
    <w:rsid w:val="00211E0E"/>
    <w:rsid w:val="00214316"/>
    <w:rsid w:val="00214DD4"/>
    <w:rsid w:val="0021749A"/>
    <w:rsid w:val="002174B3"/>
    <w:rsid w:val="00221AE0"/>
    <w:rsid w:val="00223D67"/>
    <w:rsid w:val="00224AE1"/>
    <w:rsid w:val="00230830"/>
    <w:rsid w:val="002316F5"/>
    <w:rsid w:val="002339E8"/>
    <w:rsid w:val="00241304"/>
    <w:rsid w:val="00243CEF"/>
    <w:rsid w:val="002461F5"/>
    <w:rsid w:val="00250530"/>
    <w:rsid w:val="00257560"/>
    <w:rsid w:val="00261916"/>
    <w:rsid w:val="00271972"/>
    <w:rsid w:val="0027541F"/>
    <w:rsid w:val="00280F22"/>
    <w:rsid w:val="0028154F"/>
    <w:rsid w:val="0028227E"/>
    <w:rsid w:val="002855B0"/>
    <w:rsid w:val="0028734B"/>
    <w:rsid w:val="0029026E"/>
    <w:rsid w:val="00295E83"/>
    <w:rsid w:val="00296A37"/>
    <w:rsid w:val="002A2415"/>
    <w:rsid w:val="002A3037"/>
    <w:rsid w:val="002A3F6C"/>
    <w:rsid w:val="002A47D0"/>
    <w:rsid w:val="002A58C5"/>
    <w:rsid w:val="002B3513"/>
    <w:rsid w:val="002B5686"/>
    <w:rsid w:val="002C3554"/>
    <w:rsid w:val="002C63C9"/>
    <w:rsid w:val="002D55ED"/>
    <w:rsid w:val="002D7672"/>
    <w:rsid w:val="002E11B5"/>
    <w:rsid w:val="002F0094"/>
    <w:rsid w:val="002F1B96"/>
    <w:rsid w:val="002F1ED9"/>
    <w:rsid w:val="002F4DD8"/>
    <w:rsid w:val="00307ECC"/>
    <w:rsid w:val="0031065A"/>
    <w:rsid w:val="003274D9"/>
    <w:rsid w:val="00327BE5"/>
    <w:rsid w:val="00333BD1"/>
    <w:rsid w:val="00337953"/>
    <w:rsid w:val="0034233F"/>
    <w:rsid w:val="003431A8"/>
    <w:rsid w:val="00343DA4"/>
    <w:rsid w:val="003509FB"/>
    <w:rsid w:val="003534E0"/>
    <w:rsid w:val="00356BFD"/>
    <w:rsid w:val="00357C96"/>
    <w:rsid w:val="00361160"/>
    <w:rsid w:val="00366B62"/>
    <w:rsid w:val="00367E03"/>
    <w:rsid w:val="00384DC6"/>
    <w:rsid w:val="0039624C"/>
    <w:rsid w:val="003A2A70"/>
    <w:rsid w:val="003A4985"/>
    <w:rsid w:val="003A7755"/>
    <w:rsid w:val="003B2EA6"/>
    <w:rsid w:val="003B493D"/>
    <w:rsid w:val="003B4E78"/>
    <w:rsid w:val="003B7776"/>
    <w:rsid w:val="003C0523"/>
    <w:rsid w:val="003C0E65"/>
    <w:rsid w:val="003C4615"/>
    <w:rsid w:val="003C5EC9"/>
    <w:rsid w:val="003D37C7"/>
    <w:rsid w:val="003D42C8"/>
    <w:rsid w:val="003D5A79"/>
    <w:rsid w:val="003D6582"/>
    <w:rsid w:val="003E4E33"/>
    <w:rsid w:val="003E657A"/>
    <w:rsid w:val="003E6844"/>
    <w:rsid w:val="003E7ED6"/>
    <w:rsid w:val="003F6E23"/>
    <w:rsid w:val="00401B80"/>
    <w:rsid w:val="004077CA"/>
    <w:rsid w:val="0041313F"/>
    <w:rsid w:val="0041669D"/>
    <w:rsid w:val="00417645"/>
    <w:rsid w:val="00421917"/>
    <w:rsid w:val="0042593D"/>
    <w:rsid w:val="00430229"/>
    <w:rsid w:val="00432B71"/>
    <w:rsid w:val="0043579F"/>
    <w:rsid w:val="00437E1F"/>
    <w:rsid w:val="00444F5E"/>
    <w:rsid w:val="004518DE"/>
    <w:rsid w:val="004536BC"/>
    <w:rsid w:val="00455E14"/>
    <w:rsid w:val="00463EE2"/>
    <w:rsid w:val="004648FD"/>
    <w:rsid w:val="00465BB2"/>
    <w:rsid w:val="00473D0C"/>
    <w:rsid w:val="00477917"/>
    <w:rsid w:val="0048089A"/>
    <w:rsid w:val="00480BB7"/>
    <w:rsid w:val="0048213A"/>
    <w:rsid w:val="004839F4"/>
    <w:rsid w:val="00483D17"/>
    <w:rsid w:val="00487616"/>
    <w:rsid w:val="004920C1"/>
    <w:rsid w:val="00494F03"/>
    <w:rsid w:val="00497301"/>
    <w:rsid w:val="00497DB4"/>
    <w:rsid w:val="004A13F1"/>
    <w:rsid w:val="004A3B7B"/>
    <w:rsid w:val="004A5C20"/>
    <w:rsid w:val="004B4B03"/>
    <w:rsid w:val="004D188E"/>
    <w:rsid w:val="004D5C97"/>
    <w:rsid w:val="004D6DC1"/>
    <w:rsid w:val="004E45FF"/>
    <w:rsid w:val="004E56F4"/>
    <w:rsid w:val="004E63E3"/>
    <w:rsid w:val="004F1607"/>
    <w:rsid w:val="004F64E1"/>
    <w:rsid w:val="004F6753"/>
    <w:rsid w:val="00502DEB"/>
    <w:rsid w:val="00504A0F"/>
    <w:rsid w:val="005061A2"/>
    <w:rsid w:val="005111EA"/>
    <w:rsid w:val="00513385"/>
    <w:rsid w:val="005157C3"/>
    <w:rsid w:val="00515EF1"/>
    <w:rsid w:val="00516881"/>
    <w:rsid w:val="00517244"/>
    <w:rsid w:val="00520885"/>
    <w:rsid w:val="00520A32"/>
    <w:rsid w:val="00533669"/>
    <w:rsid w:val="0053603A"/>
    <w:rsid w:val="00537B05"/>
    <w:rsid w:val="0054063B"/>
    <w:rsid w:val="00544EC3"/>
    <w:rsid w:val="00544FB6"/>
    <w:rsid w:val="00546BDB"/>
    <w:rsid w:val="00550607"/>
    <w:rsid w:val="00550AAD"/>
    <w:rsid w:val="005514F4"/>
    <w:rsid w:val="005519BF"/>
    <w:rsid w:val="005601BA"/>
    <w:rsid w:val="00561277"/>
    <w:rsid w:val="00561C8D"/>
    <w:rsid w:val="00567C5E"/>
    <w:rsid w:val="005704C1"/>
    <w:rsid w:val="005715C5"/>
    <w:rsid w:val="00571D04"/>
    <w:rsid w:val="00572186"/>
    <w:rsid w:val="005741BA"/>
    <w:rsid w:val="0057634D"/>
    <w:rsid w:val="00577684"/>
    <w:rsid w:val="005814ED"/>
    <w:rsid w:val="005833EB"/>
    <w:rsid w:val="0058488F"/>
    <w:rsid w:val="00592D39"/>
    <w:rsid w:val="00593368"/>
    <w:rsid w:val="00595B18"/>
    <w:rsid w:val="005A0FAA"/>
    <w:rsid w:val="005A4A67"/>
    <w:rsid w:val="005B18EA"/>
    <w:rsid w:val="005B3FF6"/>
    <w:rsid w:val="005B4965"/>
    <w:rsid w:val="005C16FF"/>
    <w:rsid w:val="005C1A95"/>
    <w:rsid w:val="005C48EA"/>
    <w:rsid w:val="005D0B2E"/>
    <w:rsid w:val="005D6F8D"/>
    <w:rsid w:val="005D7F6E"/>
    <w:rsid w:val="005E174C"/>
    <w:rsid w:val="005E2810"/>
    <w:rsid w:val="005E675D"/>
    <w:rsid w:val="005F4ADD"/>
    <w:rsid w:val="005F6F5C"/>
    <w:rsid w:val="0060712B"/>
    <w:rsid w:val="006119AB"/>
    <w:rsid w:val="00616594"/>
    <w:rsid w:val="006207C0"/>
    <w:rsid w:val="00620EA9"/>
    <w:rsid w:val="0062367C"/>
    <w:rsid w:val="006239E1"/>
    <w:rsid w:val="00623B83"/>
    <w:rsid w:val="006323B3"/>
    <w:rsid w:val="00635A78"/>
    <w:rsid w:val="0064010F"/>
    <w:rsid w:val="00641A20"/>
    <w:rsid w:val="00644816"/>
    <w:rsid w:val="00646C5E"/>
    <w:rsid w:val="006505CA"/>
    <w:rsid w:val="0065289C"/>
    <w:rsid w:val="00653051"/>
    <w:rsid w:val="006576CD"/>
    <w:rsid w:val="006601D0"/>
    <w:rsid w:val="0066102A"/>
    <w:rsid w:val="00665163"/>
    <w:rsid w:val="0066548E"/>
    <w:rsid w:val="00666B54"/>
    <w:rsid w:val="00670F86"/>
    <w:rsid w:val="006710A3"/>
    <w:rsid w:val="00675DD4"/>
    <w:rsid w:val="0068005E"/>
    <w:rsid w:val="0069027E"/>
    <w:rsid w:val="006912AC"/>
    <w:rsid w:val="00693CA9"/>
    <w:rsid w:val="00693FA6"/>
    <w:rsid w:val="006B5A62"/>
    <w:rsid w:val="006B61EF"/>
    <w:rsid w:val="006C367C"/>
    <w:rsid w:val="006D03AA"/>
    <w:rsid w:val="006D07D3"/>
    <w:rsid w:val="006E2121"/>
    <w:rsid w:val="006E461A"/>
    <w:rsid w:val="006E602B"/>
    <w:rsid w:val="006E64A8"/>
    <w:rsid w:val="006E6D22"/>
    <w:rsid w:val="006F003D"/>
    <w:rsid w:val="006F1403"/>
    <w:rsid w:val="006F1CC9"/>
    <w:rsid w:val="006F3FA3"/>
    <w:rsid w:val="0070333A"/>
    <w:rsid w:val="007046A1"/>
    <w:rsid w:val="00721DB2"/>
    <w:rsid w:val="007265C9"/>
    <w:rsid w:val="00731129"/>
    <w:rsid w:val="00733330"/>
    <w:rsid w:val="0074086D"/>
    <w:rsid w:val="00741381"/>
    <w:rsid w:val="00741605"/>
    <w:rsid w:val="00741834"/>
    <w:rsid w:val="0075210F"/>
    <w:rsid w:val="0075486A"/>
    <w:rsid w:val="007565FC"/>
    <w:rsid w:val="0075669C"/>
    <w:rsid w:val="00763F88"/>
    <w:rsid w:val="00765C55"/>
    <w:rsid w:val="00766752"/>
    <w:rsid w:val="007728D2"/>
    <w:rsid w:val="00773744"/>
    <w:rsid w:val="00773A93"/>
    <w:rsid w:val="00781DE3"/>
    <w:rsid w:val="00783D3D"/>
    <w:rsid w:val="00790DE3"/>
    <w:rsid w:val="007918F1"/>
    <w:rsid w:val="007A0C52"/>
    <w:rsid w:val="007A0E45"/>
    <w:rsid w:val="007A3A7A"/>
    <w:rsid w:val="007A3BF0"/>
    <w:rsid w:val="007B34C6"/>
    <w:rsid w:val="007B4ADE"/>
    <w:rsid w:val="007B5EE9"/>
    <w:rsid w:val="007B65F6"/>
    <w:rsid w:val="007C2072"/>
    <w:rsid w:val="007C2704"/>
    <w:rsid w:val="007C7B91"/>
    <w:rsid w:val="007D1539"/>
    <w:rsid w:val="007D1ECE"/>
    <w:rsid w:val="007D3DBE"/>
    <w:rsid w:val="007D4BBE"/>
    <w:rsid w:val="007D61E2"/>
    <w:rsid w:val="007E0186"/>
    <w:rsid w:val="007E1FB5"/>
    <w:rsid w:val="007E3E48"/>
    <w:rsid w:val="007E53DE"/>
    <w:rsid w:val="007E7647"/>
    <w:rsid w:val="007F2DAA"/>
    <w:rsid w:val="007F2F2C"/>
    <w:rsid w:val="007F325B"/>
    <w:rsid w:val="007F4842"/>
    <w:rsid w:val="007F70D9"/>
    <w:rsid w:val="0080229E"/>
    <w:rsid w:val="008060D2"/>
    <w:rsid w:val="00814E2E"/>
    <w:rsid w:val="00815FC1"/>
    <w:rsid w:val="00816441"/>
    <w:rsid w:val="008169EB"/>
    <w:rsid w:val="00817B2D"/>
    <w:rsid w:val="00817E72"/>
    <w:rsid w:val="008216B4"/>
    <w:rsid w:val="00823A3E"/>
    <w:rsid w:val="00824A59"/>
    <w:rsid w:val="0082634B"/>
    <w:rsid w:val="008265D5"/>
    <w:rsid w:val="008301A9"/>
    <w:rsid w:val="00833D24"/>
    <w:rsid w:val="00834F47"/>
    <w:rsid w:val="00837CD2"/>
    <w:rsid w:val="00840F3D"/>
    <w:rsid w:val="00841616"/>
    <w:rsid w:val="00842628"/>
    <w:rsid w:val="00843E72"/>
    <w:rsid w:val="00844F9E"/>
    <w:rsid w:val="008513FB"/>
    <w:rsid w:val="008525D7"/>
    <w:rsid w:val="008540F2"/>
    <w:rsid w:val="008565BC"/>
    <w:rsid w:val="008574BC"/>
    <w:rsid w:val="008714E7"/>
    <w:rsid w:val="008735E4"/>
    <w:rsid w:val="00873EC9"/>
    <w:rsid w:val="00883795"/>
    <w:rsid w:val="008846A4"/>
    <w:rsid w:val="0088715F"/>
    <w:rsid w:val="00891121"/>
    <w:rsid w:val="008911B9"/>
    <w:rsid w:val="00897949"/>
    <w:rsid w:val="008B411A"/>
    <w:rsid w:val="008B51A9"/>
    <w:rsid w:val="008C0FA6"/>
    <w:rsid w:val="008C357C"/>
    <w:rsid w:val="008D151D"/>
    <w:rsid w:val="008D42E4"/>
    <w:rsid w:val="008D618B"/>
    <w:rsid w:val="008D7152"/>
    <w:rsid w:val="008F076F"/>
    <w:rsid w:val="008F155B"/>
    <w:rsid w:val="008F27C5"/>
    <w:rsid w:val="008F4D3A"/>
    <w:rsid w:val="008F61E2"/>
    <w:rsid w:val="008F64AB"/>
    <w:rsid w:val="009008CC"/>
    <w:rsid w:val="00913C48"/>
    <w:rsid w:val="00917CBA"/>
    <w:rsid w:val="009221B2"/>
    <w:rsid w:val="0092321B"/>
    <w:rsid w:val="00925C35"/>
    <w:rsid w:val="009260FC"/>
    <w:rsid w:val="00926A39"/>
    <w:rsid w:val="0094182B"/>
    <w:rsid w:val="00942E4A"/>
    <w:rsid w:val="00944163"/>
    <w:rsid w:val="0094514E"/>
    <w:rsid w:val="00945DBB"/>
    <w:rsid w:val="0094775B"/>
    <w:rsid w:val="009578E1"/>
    <w:rsid w:val="00962406"/>
    <w:rsid w:val="009625C7"/>
    <w:rsid w:val="00962E0B"/>
    <w:rsid w:val="0096324A"/>
    <w:rsid w:val="00966AD5"/>
    <w:rsid w:val="00967122"/>
    <w:rsid w:val="009751BB"/>
    <w:rsid w:val="009760EE"/>
    <w:rsid w:val="009777A8"/>
    <w:rsid w:val="00991AA4"/>
    <w:rsid w:val="00992C97"/>
    <w:rsid w:val="009A0B26"/>
    <w:rsid w:val="009A12D9"/>
    <w:rsid w:val="009A2CDE"/>
    <w:rsid w:val="009A2E9E"/>
    <w:rsid w:val="009A53B3"/>
    <w:rsid w:val="009B2F79"/>
    <w:rsid w:val="009B4A6B"/>
    <w:rsid w:val="009B77A6"/>
    <w:rsid w:val="009C12EE"/>
    <w:rsid w:val="009C55B1"/>
    <w:rsid w:val="009D67C2"/>
    <w:rsid w:val="009D7CEF"/>
    <w:rsid w:val="009E0B35"/>
    <w:rsid w:val="009E1C94"/>
    <w:rsid w:val="009E738B"/>
    <w:rsid w:val="009F397F"/>
    <w:rsid w:val="009F5A85"/>
    <w:rsid w:val="009F6B89"/>
    <w:rsid w:val="009F7812"/>
    <w:rsid w:val="009F7F39"/>
    <w:rsid w:val="00A03176"/>
    <w:rsid w:val="00A045D2"/>
    <w:rsid w:val="00A149F5"/>
    <w:rsid w:val="00A150AE"/>
    <w:rsid w:val="00A160AB"/>
    <w:rsid w:val="00A229D8"/>
    <w:rsid w:val="00A31E2A"/>
    <w:rsid w:val="00A3478B"/>
    <w:rsid w:val="00A36C6E"/>
    <w:rsid w:val="00A40C57"/>
    <w:rsid w:val="00A419E1"/>
    <w:rsid w:val="00A4389C"/>
    <w:rsid w:val="00A45CE0"/>
    <w:rsid w:val="00A54009"/>
    <w:rsid w:val="00A6014A"/>
    <w:rsid w:val="00A63462"/>
    <w:rsid w:val="00A63672"/>
    <w:rsid w:val="00A66CA4"/>
    <w:rsid w:val="00A66D4A"/>
    <w:rsid w:val="00A70E10"/>
    <w:rsid w:val="00A73BD6"/>
    <w:rsid w:val="00A76ED7"/>
    <w:rsid w:val="00A77F35"/>
    <w:rsid w:val="00A81EC8"/>
    <w:rsid w:val="00A90A6D"/>
    <w:rsid w:val="00A91C72"/>
    <w:rsid w:val="00A95D9F"/>
    <w:rsid w:val="00A976B7"/>
    <w:rsid w:val="00AA3BF5"/>
    <w:rsid w:val="00AA54A3"/>
    <w:rsid w:val="00AB60B2"/>
    <w:rsid w:val="00AC4774"/>
    <w:rsid w:val="00AD4922"/>
    <w:rsid w:val="00AD72EF"/>
    <w:rsid w:val="00AD7B84"/>
    <w:rsid w:val="00AE38C0"/>
    <w:rsid w:val="00AE496F"/>
    <w:rsid w:val="00AE6D27"/>
    <w:rsid w:val="00AE7D28"/>
    <w:rsid w:val="00AF010D"/>
    <w:rsid w:val="00AF10FE"/>
    <w:rsid w:val="00AF199F"/>
    <w:rsid w:val="00AF25F7"/>
    <w:rsid w:val="00B0202B"/>
    <w:rsid w:val="00B0212D"/>
    <w:rsid w:val="00B049BF"/>
    <w:rsid w:val="00B04F8B"/>
    <w:rsid w:val="00B064B0"/>
    <w:rsid w:val="00B06A20"/>
    <w:rsid w:val="00B10758"/>
    <w:rsid w:val="00B14568"/>
    <w:rsid w:val="00B210C6"/>
    <w:rsid w:val="00B23D7D"/>
    <w:rsid w:val="00B25C97"/>
    <w:rsid w:val="00B2707A"/>
    <w:rsid w:val="00B276B1"/>
    <w:rsid w:val="00B4069E"/>
    <w:rsid w:val="00B44576"/>
    <w:rsid w:val="00B45531"/>
    <w:rsid w:val="00B474F7"/>
    <w:rsid w:val="00B47E92"/>
    <w:rsid w:val="00B561F8"/>
    <w:rsid w:val="00B62A01"/>
    <w:rsid w:val="00B63A23"/>
    <w:rsid w:val="00B64391"/>
    <w:rsid w:val="00B701EA"/>
    <w:rsid w:val="00B70A8B"/>
    <w:rsid w:val="00B77AD5"/>
    <w:rsid w:val="00B858FE"/>
    <w:rsid w:val="00B860EE"/>
    <w:rsid w:val="00B92749"/>
    <w:rsid w:val="00B9386C"/>
    <w:rsid w:val="00B949F3"/>
    <w:rsid w:val="00BA317B"/>
    <w:rsid w:val="00BA79CC"/>
    <w:rsid w:val="00BB04A8"/>
    <w:rsid w:val="00BB4667"/>
    <w:rsid w:val="00BB61F2"/>
    <w:rsid w:val="00BB76A3"/>
    <w:rsid w:val="00BC56FC"/>
    <w:rsid w:val="00BC7921"/>
    <w:rsid w:val="00BD0052"/>
    <w:rsid w:val="00BE1CD4"/>
    <w:rsid w:val="00BE4836"/>
    <w:rsid w:val="00C017C1"/>
    <w:rsid w:val="00C04F7B"/>
    <w:rsid w:val="00C05AD2"/>
    <w:rsid w:val="00C12690"/>
    <w:rsid w:val="00C15699"/>
    <w:rsid w:val="00C15F5B"/>
    <w:rsid w:val="00C161FB"/>
    <w:rsid w:val="00C32802"/>
    <w:rsid w:val="00C34D02"/>
    <w:rsid w:val="00C364A8"/>
    <w:rsid w:val="00C36982"/>
    <w:rsid w:val="00C43FAF"/>
    <w:rsid w:val="00C510A5"/>
    <w:rsid w:val="00C53858"/>
    <w:rsid w:val="00C5559C"/>
    <w:rsid w:val="00C57F65"/>
    <w:rsid w:val="00C65F99"/>
    <w:rsid w:val="00C718CF"/>
    <w:rsid w:val="00C73465"/>
    <w:rsid w:val="00C74123"/>
    <w:rsid w:val="00C762FF"/>
    <w:rsid w:val="00C91FB9"/>
    <w:rsid w:val="00C935CE"/>
    <w:rsid w:val="00C93D09"/>
    <w:rsid w:val="00C95FE4"/>
    <w:rsid w:val="00C97D20"/>
    <w:rsid w:val="00CA7827"/>
    <w:rsid w:val="00CB5EE5"/>
    <w:rsid w:val="00CC0818"/>
    <w:rsid w:val="00CC631A"/>
    <w:rsid w:val="00CC6FA2"/>
    <w:rsid w:val="00CD1A4B"/>
    <w:rsid w:val="00CD2983"/>
    <w:rsid w:val="00CD7469"/>
    <w:rsid w:val="00CE1DA2"/>
    <w:rsid w:val="00CE1E67"/>
    <w:rsid w:val="00CE46E1"/>
    <w:rsid w:val="00CE4FF6"/>
    <w:rsid w:val="00CF2484"/>
    <w:rsid w:val="00CF26ED"/>
    <w:rsid w:val="00CF6331"/>
    <w:rsid w:val="00D076AF"/>
    <w:rsid w:val="00D13677"/>
    <w:rsid w:val="00D161DA"/>
    <w:rsid w:val="00D1636D"/>
    <w:rsid w:val="00D20F66"/>
    <w:rsid w:val="00D22B33"/>
    <w:rsid w:val="00D22E59"/>
    <w:rsid w:val="00D26567"/>
    <w:rsid w:val="00D310A5"/>
    <w:rsid w:val="00D33BBE"/>
    <w:rsid w:val="00D3773B"/>
    <w:rsid w:val="00D45026"/>
    <w:rsid w:val="00D45C3E"/>
    <w:rsid w:val="00D47C41"/>
    <w:rsid w:val="00D47E18"/>
    <w:rsid w:val="00D50317"/>
    <w:rsid w:val="00D516C7"/>
    <w:rsid w:val="00D52A5C"/>
    <w:rsid w:val="00D6227D"/>
    <w:rsid w:val="00D635F3"/>
    <w:rsid w:val="00D65EB0"/>
    <w:rsid w:val="00D65F5E"/>
    <w:rsid w:val="00D66903"/>
    <w:rsid w:val="00D86C7B"/>
    <w:rsid w:val="00D875A3"/>
    <w:rsid w:val="00D942E3"/>
    <w:rsid w:val="00D96E45"/>
    <w:rsid w:val="00D9717E"/>
    <w:rsid w:val="00DA1FA6"/>
    <w:rsid w:val="00DA257F"/>
    <w:rsid w:val="00DA2D2F"/>
    <w:rsid w:val="00DA34EA"/>
    <w:rsid w:val="00DA46B9"/>
    <w:rsid w:val="00DA606A"/>
    <w:rsid w:val="00DA7B86"/>
    <w:rsid w:val="00DB05ED"/>
    <w:rsid w:val="00DB55CD"/>
    <w:rsid w:val="00DC206B"/>
    <w:rsid w:val="00DC4833"/>
    <w:rsid w:val="00DC51E1"/>
    <w:rsid w:val="00DC67D3"/>
    <w:rsid w:val="00DD1F72"/>
    <w:rsid w:val="00DD5389"/>
    <w:rsid w:val="00DD5838"/>
    <w:rsid w:val="00DD7810"/>
    <w:rsid w:val="00DE1321"/>
    <w:rsid w:val="00DE4E92"/>
    <w:rsid w:val="00DE5EAB"/>
    <w:rsid w:val="00DF3FF1"/>
    <w:rsid w:val="00DF70C7"/>
    <w:rsid w:val="00DF7733"/>
    <w:rsid w:val="00E010B8"/>
    <w:rsid w:val="00E04A15"/>
    <w:rsid w:val="00E10548"/>
    <w:rsid w:val="00E16A98"/>
    <w:rsid w:val="00E2168D"/>
    <w:rsid w:val="00E22713"/>
    <w:rsid w:val="00E3195A"/>
    <w:rsid w:val="00E33144"/>
    <w:rsid w:val="00E331E7"/>
    <w:rsid w:val="00E41AD6"/>
    <w:rsid w:val="00E46AF8"/>
    <w:rsid w:val="00E51E92"/>
    <w:rsid w:val="00E5405F"/>
    <w:rsid w:val="00E634B8"/>
    <w:rsid w:val="00E656D6"/>
    <w:rsid w:val="00E66947"/>
    <w:rsid w:val="00E71B33"/>
    <w:rsid w:val="00E75A02"/>
    <w:rsid w:val="00E76A28"/>
    <w:rsid w:val="00E839F2"/>
    <w:rsid w:val="00E84004"/>
    <w:rsid w:val="00E84206"/>
    <w:rsid w:val="00E914C8"/>
    <w:rsid w:val="00E96F63"/>
    <w:rsid w:val="00EA4C17"/>
    <w:rsid w:val="00EA59CA"/>
    <w:rsid w:val="00EA7178"/>
    <w:rsid w:val="00EB04CA"/>
    <w:rsid w:val="00EB7F27"/>
    <w:rsid w:val="00EC29E3"/>
    <w:rsid w:val="00EE13E4"/>
    <w:rsid w:val="00EE3418"/>
    <w:rsid w:val="00EF51C7"/>
    <w:rsid w:val="00EF6A02"/>
    <w:rsid w:val="00EF6E2E"/>
    <w:rsid w:val="00F012CF"/>
    <w:rsid w:val="00F02510"/>
    <w:rsid w:val="00F051FB"/>
    <w:rsid w:val="00F07634"/>
    <w:rsid w:val="00F11B66"/>
    <w:rsid w:val="00F15A8F"/>
    <w:rsid w:val="00F20CB5"/>
    <w:rsid w:val="00F21D33"/>
    <w:rsid w:val="00F235A6"/>
    <w:rsid w:val="00F26638"/>
    <w:rsid w:val="00F278FC"/>
    <w:rsid w:val="00F31443"/>
    <w:rsid w:val="00F323AA"/>
    <w:rsid w:val="00F32AE0"/>
    <w:rsid w:val="00F33198"/>
    <w:rsid w:val="00F36FFA"/>
    <w:rsid w:val="00F46C85"/>
    <w:rsid w:val="00F47177"/>
    <w:rsid w:val="00F47A97"/>
    <w:rsid w:val="00F57361"/>
    <w:rsid w:val="00F71881"/>
    <w:rsid w:val="00F730F5"/>
    <w:rsid w:val="00F73A6A"/>
    <w:rsid w:val="00F73D0E"/>
    <w:rsid w:val="00F74E9D"/>
    <w:rsid w:val="00F81269"/>
    <w:rsid w:val="00F92617"/>
    <w:rsid w:val="00F93479"/>
    <w:rsid w:val="00F943DE"/>
    <w:rsid w:val="00F9635C"/>
    <w:rsid w:val="00F97B38"/>
    <w:rsid w:val="00FA04BE"/>
    <w:rsid w:val="00FA7AEF"/>
    <w:rsid w:val="00FB7DCF"/>
    <w:rsid w:val="00FD1038"/>
    <w:rsid w:val="00FD33DB"/>
    <w:rsid w:val="00FD3A31"/>
    <w:rsid w:val="00FD3D0C"/>
    <w:rsid w:val="00FD4A05"/>
    <w:rsid w:val="00FE6897"/>
    <w:rsid w:val="00FE6AF0"/>
    <w:rsid w:val="00FF4D94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E02745B-6257-4F9A-A4BE-652FF91C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C51E1"/>
    <w:pPr>
      <w:jc w:val="both"/>
    </w:pPr>
    <w:rPr>
      <w:rFonts w:ascii="Arial" w:hAnsi="Arial" w:cs="Arial"/>
      <w:lang w:val="en-GB" w:eastAsia="en-GB"/>
    </w:rPr>
  </w:style>
  <w:style w:type="paragraph" w:styleId="Heading1">
    <w:name w:val="heading 1"/>
    <w:basedOn w:val="Normal"/>
    <w:next w:val="Normal"/>
    <w:qFormat/>
    <w:rsid w:val="00AD4922"/>
    <w:pPr>
      <w:keepNext/>
      <w:pBdr>
        <w:top w:val="single" w:sz="8" w:space="10" w:color="auto"/>
        <w:bottom w:val="single" w:sz="8" w:space="10" w:color="auto"/>
      </w:pBdr>
      <w:shd w:val="clear" w:color="auto" w:fill="0070C0"/>
      <w:spacing w:before="240" w:after="60"/>
      <w:outlineLvl w:val="0"/>
    </w:pPr>
    <w:rPr>
      <w:b/>
      <w:bCs/>
      <w:color w:val="FFFFFF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D4922"/>
    <w:pPr>
      <w:keepNext/>
      <w:spacing w:before="240" w:after="60"/>
      <w:outlineLvl w:val="1"/>
    </w:pPr>
    <w:rPr>
      <w:b/>
      <w:bCs/>
      <w:i/>
      <w:iCs/>
      <w:color w:val="0070C0"/>
      <w:sz w:val="28"/>
      <w:szCs w:val="28"/>
    </w:rPr>
  </w:style>
  <w:style w:type="paragraph" w:styleId="Heading3">
    <w:name w:val="heading 3"/>
    <w:basedOn w:val="Normal"/>
    <w:next w:val="Normal"/>
    <w:qFormat/>
    <w:rsid w:val="00A90A6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D4922"/>
    <w:pPr>
      <w:keepNext/>
      <w:tabs>
        <w:tab w:val="num" w:pos="864"/>
      </w:tabs>
      <w:ind w:left="864" w:hanging="864"/>
      <w:jc w:val="left"/>
      <w:outlineLvl w:val="3"/>
    </w:pPr>
    <w:rPr>
      <w:rFonts w:cs="Times New Roman"/>
      <w:b/>
      <w:snapToGrid w:val="0"/>
      <w:color w:val="000000"/>
      <w:sz w:val="24"/>
      <w:lang w:eastAsia="en-US"/>
    </w:rPr>
  </w:style>
  <w:style w:type="paragraph" w:styleId="Heading5">
    <w:name w:val="heading 5"/>
    <w:basedOn w:val="Normal"/>
    <w:next w:val="Normal"/>
    <w:qFormat/>
    <w:rsid w:val="00A90A6D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cs="Times New Roman"/>
      <w:sz w:val="22"/>
    </w:rPr>
  </w:style>
  <w:style w:type="paragraph" w:styleId="Heading6">
    <w:name w:val="heading 6"/>
    <w:basedOn w:val="Normal"/>
    <w:next w:val="Normal"/>
    <w:qFormat/>
    <w:rsid w:val="00A90A6D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Times New Roman" w:hAnsi="Times New Roman" w:cs="Times New Roman"/>
      <w:i/>
      <w:sz w:val="22"/>
    </w:rPr>
  </w:style>
  <w:style w:type="paragraph" w:styleId="Heading7">
    <w:name w:val="heading 7"/>
    <w:basedOn w:val="Normal"/>
    <w:next w:val="Normal"/>
    <w:qFormat/>
    <w:rsid w:val="00A90A6D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qFormat/>
    <w:rsid w:val="00A90A6D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cs="Times New Roman"/>
      <w:i/>
    </w:rPr>
  </w:style>
  <w:style w:type="paragraph" w:styleId="Heading9">
    <w:name w:val="heading 9"/>
    <w:basedOn w:val="Normal"/>
    <w:next w:val="Normal"/>
    <w:qFormat/>
    <w:rsid w:val="00A90A6D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cs="Times New Roman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Heading1"/>
    <w:autoRedefine/>
    <w:rsid w:val="008F64AB"/>
    <w:pPr>
      <w:spacing w:before="0" w:after="0"/>
    </w:pPr>
    <w:rPr>
      <w:rFonts w:cs="Times New Roman"/>
      <w:bCs w:val="0"/>
      <w:kern w:val="0"/>
      <w:szCs w:val="20"/>
    </w:rPr>
  </w:style>
  <w:style w:type="paragraph" w:customStyle="1" w:styleId="Style3">
    <w:name w:val="Style3"/>
    <w:basedOn w:val="Heading2"/>
    <w:autoRedefine/>
    <w:rsid w:val="008F64AB"/>
    <w:pPr>
      <w:numPr>
        <w:ilvl w:val="1"/>
        <w:numId w:val="2"/>
      </w:numPr>
      <w:spacing w:before="0" w:after="0"/>
    </w:pPr>
    <w:rPr>
      <w:rFonts w:cs="Times New Roman"/>
      <w:bCs w:val="0"/>
      <w:i w:val="0"/>
      <w:iCs w:val="0"/>
      <w:szCs w:val="20"/>
    </w:rPr>
  </w:style>
  <w:style w:type="table" w:styleId="TableGrid">
    <w:name w:val="Table Grid"/>
    <w:basedOn w:val="TableNormal"/>
    <w:rsid w:val="0013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17CBA"/>
    <w:rPr>
      <w:sz w:val="16"/>
      <w:szCs w:val="16"/>
    </w:rPr>
  </w:style>
  <w:style w:type="paragraph" w:styleId="CommentText">
    <w:name w:val="annotation text"/>
    <w:basedOn w:val="Normal"/>
    <w:semiHidden/>
    <w:rsid w:val="00917CBA"/>
  </w:style>
  <w:style w:type="paragraph" w:styleId="CommentSubject">
    <w:name w:val="annotation subject"/>
    <w:basedOn w:val="CommentText"/>
    <w:next w:val="CommentText"/>
    <w:semiHidden/>
    <w:rsid w:val="00917CBA"/>
    <w:rPr>
      <w:b/>
      <w:bCs/>
    </w:rPr>
  </w:style>
  <w:style w:type="paragraph" w:styleId="BalloonText">
    <w:name w:val="Balloon Text"/>
    <w:basedOn w:val="Normal"/>
    <w:semiHidden/>
    <w:rsid w:val="00917C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31537"/>
  </w:style>
  <w:style w:type="character" w:styleId="FootnoteReference">
    <w:name w:val="footnote reference"/>
    <w:semiHidden/>
    <w:rsid w:val="00131537"/>
    <w:rPr>
      <w:vertAlign w:val="superscript"/>
    </w:rPr>
  </w:style>
  <w:style w:type="paragraph" w:customStyle="1" w:styleId="BulletBox">
    <w:name w:val="Bullet Box"/>
    <w:basedOn w:val="Normal"/>
    <w:rsid w:val="003D42C8"/>
    <w:pPr>
      <w:numPr>
        <w:numId w:val="8"/>
      </w:numPr>
    </w:pPr>
  </w:style>
  <w:style w:type="paragraph" w:styleId="Header">
    <w:name w:val="header"/>
    <w:basedOn w:val="Normal"/>
    <w:rsid w:val="007918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18F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2121"/>
  </w:style>
  <w:style w:type="paragraph" w:styleId="Caption">
    <w:name w:val="caption"/>
    <w:basedOn w:val="Normal"/>
    <w:next w:val="Normal"/>
    <w:qFormat/>
    <w:rsid w:val="000C76A3"/>
    <w:rPr>
      <w:b/>
      <w:bCs/>
    </w:rPr>
  </w:style>
  <w:style w:type="character" w:styleId="Hyperlink">
    <w:name w:val="Hyperlink"/>
    <w:rsid w:val="00693FA6"/>
    <w:rPr>
      <w:color w:val="0000FF"/>
      <w:u w:val="single"/>
    </w:rPr>
  </w:style>
  <w:style w:type="paragraph" w:customStyle="1" w:styleId="Style10ptLinespacingAtleast14pt">
    <w:name w:val="Style 10 pt Line spacing:  At least 14 pt"/>
    <w:basedOn w:val="Normal"/>
    <w:rsid w:val="00DE4E92"/>
    <w:pPr>
      <w:spacing w:after="240" w:line="280" w:lineRule="atLeast"/>
      <w:jc w:val="left"/>
    </w:pPr>
    <w:rPr>
      <w:rFonts w:cs="Times New Roman"/>
    </w:rPr>
  </w:style>
  <w:style w:type="paragraph" w:styleId="Revision">
    <w:name w:val="Revision"/>
    <w:hidden/>
    <w:uiPriority w:val="99"/>
    <w:semiHidden/>
    <w:rsid w:val="00AE38C0"/>
    <w:rPr>
      <w:rFonts w:ascii="Arial" w:hAnsi="Arial" w:cs="Arial"/>
      <w:lang w:val="en-GB" w:eastAsia="en-GB"/>
    </w:rPr>
  </w:style>
  <w:style w:type="character" w:styleId="FollowedHyperlink">
    <w:name w:val="FollowedHyperlink"/>
    <w:rsid w:val="00107B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hyperlink" Target="mailto:box.transmissioncapacityandcharging@nationalgrid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n.elmhirst@nationalgrid.com" TargetMode="External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85C4-A4DF-4156-B40E-84526F43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3603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CHARGES</vt:lpstr>
    </vt:vector>
  </TitlesOfParts>
  <Company>National Grid</Company>
  <LinksUpToDate>false</LinksUpToDate>
  <CharactersWithSpaces>22749</CharactersWithSpaces>
  <SharedDoc>false</SharedDoc>
  <HLinks>
    <vt:vector size="12" baseType="variant">
      <vt:variant>
        <vt:i4>2424900</vt:i4>
      </vt:variant>
      <vt:variant>
        <vt:i4>24</vt:i4>
      </vt:variant>
      <vt:variant>
        <vt:i4>0</vt:i4>
      </vt:variant>
      <vt:variant>
        <vt:i4>5</vt:i4>
      </vt:variant>
      <vt:variant>
        <vt:lpwstr>mailto:box.transmissioncapacityandcharging@nationalgrid.com</vt:lpwstr>
      </vt:variant>
      <vt:variant>
        <vt:lpwstr/>
      </vt:variant>
      <vt:variant>
        <vt:i4>5570613</vt:i4>
      </vt:variant>
      <vt:variant>
        <vt:i4>3</vt:i4>
      </vt:variant>
      <vt:variant>
        <vt:i4>0</vt:i4>
      </vt:variant>
      <vt:variant>
        <vt:i4>5</vt:i4>
      </vt:variant>
      <vt:variant>
        <vt:lpwstr>mailto:Karin.elmhirst@nationalgrid.com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CHARGES</dc:title>
  <dc:subject/>
  <dc:creator>damian.clough</dc:creator>
  <cp:keywords/>
  <cp:lastModifiedBy>Bayliss, Dave A</cp:lastModifiedBy>
  <cp:revision>6</cp:revision>
  <cp:lastPrinted>2019-08-01T10:47:00Z</cp:lastPrinted>
  <dcterms:created xsi:type="dcterms:W3CDTF">2019-08-01T10:20:00Z</dcterms:created>
  <dcterms:modified xsi:type="dcterms:W3CDTF">2019-08-01T12:15:00Z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-291896420</vt:i4>
  </property>
  <property fmtid="{D5CDD505-2E9C-101B-9397-08002B2CF9AE}" pid="3" name="_NewReviewCycle">
    <vt:lpwstr/>
  </property>
  <property fmtid="{D5CDD505-2E9C-101B-9397-08002B2CF9AE}" pid="4" name="_EmailSubject">
    <vt:lpwstr>Info provision </vt:lpwstr>
  </property>
  <property fmtid="{D5CDD505-2E9C-101B-9397-08002B2CF9AE}" pid="5" name="_AuthorEmail">
    <vt:lpwstr>Laura.Johnson@nationalgrid.com</vt:lpwstr>
  </property>
  <property fmtid="{D5CDD505-2E9C-101B-9397-08002B2CF9AE}" pid="6" name="_AuthorEmailDisplayName">
    <vt:lpwstr>Johnson, Laura</vt:lpwstr>
  </property>
  <property fmtid="{D5CDD505-2E9C-101B-9397-08002B2CF9AE}" pid="7" name="_ReviewingToolsShownOnce">
    <vt:lpwstr/>
  </property>
</Properties>
</file>